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99B50" w14:textId="77777777" w:rsidR="000E7EF3" w:rsidRDefault="00D509F6" w:rsidP="00FA5C2A">
      <w:pPr>
        <w:pStyle w:val="Briefingmainheading"/>
        <w:jc w:val="left"/>
      </w:pPr>
      <w:r>
        <w:t xml:space="preserve">Research </w:t>
      </w:r>
      <w:r w:rsidR="00FA5C2A">
        <w:t>briefing</w:t>
      </w:r>
    </w:p>
    <w:p w14:paraId="53A8187D" w14:textId="77777777" w:rsidR="00FA5C2A" w:rsidRDefault="00AE6408" w:rsidP="00FA5C2A">
      <w:pPr>
        <w:pStyle w:val="Heading3"/>
        <w:tabs>
          <w:tab w:val="right" w:pos="9071"/>
        </w:tabs>
      </w:pPr>
      <w:r>
        <w:t>@prospecteconom</w:t>
      </w:r>
      <w:r w:rsidR="00FA5C2A">
        <w:tab/>
      </w:r>
      <w:r w:rsidR="00FA5C2A" w:rsidRPr="00FA5C2A">
        <w:t>www.prospect.org.uk</w:t>
      </w:r>
    </w:p>
    <w:p w14:paraId="72C057BD" w14:textId="45EC1B32" w:rsidR="00FA5C2A" w:rsidRDefault="00FA5C2A" w:rsidP="34CD8884">
      <w:pPr>
        <w:pStyle w:val="Heading4"/>
        <w:tabs>
          <w:tab w:val="right" w:pos="9071"/>
        </w:tabs>
        <w:spacing w:before="180"/>
      </w:pPr>
      <w:r>
        <w:fldChar w:fldCharType="begin">
          <w:ffData>
            <w:name w:val="Text3"/>
            <w:enabled/>
            <w:calcOnExit w:val="0"/>
            <w:textInput>
              <w:default w:val="Briefing number xxx"/>
            </w:textInput>
          </w:ffData>
        </w:fldChar>
      </w:r>
      <w:bookmarkStart w:id="0" w:name="Text3"/>
      <w:r>
        <w:instrText xml:space="preserve"> FORMTEXT </w:instrText>
      </w:r>
      <w:r>
        <w:fldChar w:fldCharType="separate"/>
      </w:r>
      <w:r>
        <w:fldChar w:fldCharType="end"/>
      </w:r>
      <w:bookmarkEnd w:id="0"/>
      <w:r>
        <w:tab/>
      </w:r>
      <w:r w:rsidR="00AE6408">
        <w:tab/>
      </w:r>
      <w:r w:rsidR="00D46ADB">
        <w:t>1</w:t>
      </w:r>
      <w:r w:rsidR="003816EA">
        <w:t>2</w:t>
      </w:r>
      <w:r w:rsidR="00D46ADB">
        <w:t xml:space="preserve"> June</w:t>
      </w:r>
      <w:r w:rsidR="007114E1">
        <w:t xml:space="preserve"> 2025</w:t>
      </w:r>
    </w:p>
    <w:p w14:paraId="57F2CFD1" w14:textId="44226D43" w:rsidR="00FA5C2A" w:rsidRDefault="007114E1" w:rsidP="003816EA">
      <w:pPr>
        <w:pStyle w:val="Heading2"/>
      </w:pPr>
      <w:r>
        <w:t>Sp</w:t>
      </w:r>
      <w:r w:rsidR="00D46ADB">
        <w:t xml:space="preserve">ending Review </w:t>
      </w:r>
      <w:r>
        <w:t>2025</w:t>
      </w:r>
    </w:p>
    <w:p w14:paraId="07B7CDC7" w14:textId="77777777" w:rsidR="00AF1451" w:rsidRDefault="00AF1451" w:rsidP="00FA5C2A"/>
    <w:p w14:paraId="49CA59FA" w14:textId="77777777" w:rsidR="00176735" w:rsidRPr="0064242C" w:rsidRDefault="00176735" w:rsidP="0064242C">
      <w:pPr>
        <w:pStyle w:val="Heading3"/>
      </w:pPr>
      <w:r w:rsidRPr="0064242C">
        <w:t>Contents</w:t>
      </w:r>
    </w:p>
    <w:p w14:paraId="72EABB63" w14:textId="174DCBBA" w:rsidR="00176735" w:rsidRPr="00095505" w:rsidRDefault="00176735" w:rsidP="003816EA">
      <w:pPr>
        <w:pStyle w:val="ListBullet"/>
      </w:pPr>
      <w:r>
        <w:t>Introduction</w:t>
      </w:r>
    </w:p>
    <w:p w14:paraId="1E8D69A7" w14:textId="2CFDF6C7" w:rsidR="00E264FA" w:rsidRPr="00095505" w:rsidRDefault="00E264FA" w:rsidP="003816EA">
      <w:pPr>
        <w:pStyle w:val="ListBullet"/>
      </w:pPr>
      <w:r>
        <w:t>Economic background and forecasts</w:t>
      </w:r>
    </w:p>
    <w:p w14:paraId="5221F600" w14:textId="5C45E8D5" w:rsidR="00B4447B" w:rsidRPr="00095505" w:rsidRDefault="009040CB" w:rsidP="003816EA">
      <w:pPr>
        <w:pStyle w:val="ListBullet"/>
      </w:pPr>
      <w:r>
        <w:t>Overall</w:t>
      </w:r>
      <w:r w:rsidR="00B4447B">
        <w:t xml:space="preserve"> spending plan</w:t>
      </w:r>
      <w:r w:rsidR="556C6AE4">
        <w:t>s</w:t>
      </w:r>
      <w:r w:rsidR="00B4447B">
        <w:t xml:space="preserve"> for 2026-29</w:t>
      </w:r>
    </w:p>
    <w:p w14:paraId="1E3957DC" w14:textId="1225FC34" w:rsidR="00972D37" w:rsidRPr="00095505" w:rsidRDefault="00441B82" w:rsidP="003816EA">
      <w:pPr>
        <w:pStyle w:val="ListBullet"/>
      </w:pPr>
      <w:r>
        <w:t>Announcements of interest to key sectors</w:t>
      </w:r>
    </w:p>
    <w:p w14:paraId="2A7989A8" w14:textId="079E935C" w:rsidR="00EB52CC" w:rsidRDefault="00B4447B" w:rsidP="003816EA">
      <w:pPr>
        <w:pStyle w:val="ListBullet"/>
      </w:pPr>
      <w:r>
        <w:t>Prospect’s response</w:t>
      </w:r>
    </w:p>
    <w:p w14:paraId="731FE177" w14:textId="77777777" w:rsidR="00A66FC8" w:rsidRDefault="00A66FC8" w:rsidP="00A66FC8">
      <w:pPr>
        <w:pStyle w:val="ListBullet"/>
        <w:numPr>
          <w:ilvl w:val="0"/>
          <w:numId w:val="0"/>
        </w:numPr>
        <w:ind w:left="340"/>
      </w:pPr>
    </w:p>
    <w:p w14:paraId="17F53955" w14:textId="77777777" w:rsidR="00D509F6" w:rsidRDefault="00D509F6" w:rsidP="00D509F6">
      <w:pPr>
        <w:pStyle w:val="Heading3"/>
      </w:pPr>
      <w:r>
        <w:t>Introduction</w:t>
      </w:r>
    </w:p>
    <w:p w14:paraId="4BC78214" w14:textId="34D33504" w:rsidR="005E5F2D" w:rsidRDefault="005E5F2D" w:rsidP="34CD8884">
      <w:pPr>
        <w:spacing w:line="280" w:lineRule="atLeast"/>
      </w:pPr>
      <w:r>
        <w:t xml:space="preserve">Following the autumn “Spending Round” which set departmental budgets for the current fiscal year 2025-26, this Spending Review allocates </w:t>
      </w:r>
      <w:r w:rsidR="003234FB">
        <w:t xml:space="preserve">current </w:t>
      </w:r>
      <w:r>
        <w:t>budgets for the following three years 2026-27, 2027-28, and 2028-29</w:t>
      </w:r>
      <w:r w:rsidR="003234FB">
        <w:t>, and capital budgets for the four years 2026-27 to 2029-30</w:t>
      </w:r>
      <w:r>
        <w:t>.</w:t>
      </w:r>
    </w:p>
    <w:p w14:paraId="276C024B" w14:textId="77777777" w:rsidR="005E5F2D" w:rsidRDefault="005E5F2D" w:rsidP="005E5F2D">
      <w:r>
        <w:t xml:space="preserve">It therefore has important consequences for civil servants and anyone working in the public sector, for industries in which public investment and regulation plays a role, and for workers and businesses throughout the economy. </w:t>
      </w:r>
    </w:p>
    <w:p w14:paraId="41F6FE66" w14:textId="311255A2" w:rsidR="005E5F2D" w:rsidRDefault="005E5F2D" w:rsidP="005E5F2D">
      <w:r>
        <w:t>It also represents a key moment for the Government to set out how it intends to advance its “missions” during the current Parliament.</w:t>
      </w:r>
    </w:p>
    <w:p w14:paraId="10001253" w14:textId="05D4A591" w:rsidR="7DFDEE00" w:rsidRDefault="00A01EAC" w:rsidP="000E246D">
      <w:pPr>
        <w:spacing w:line="280" w:lineRule="atLeast"/>
      </w:pPr>
      <w:r>
        <w:t>This briefing aims to highlight key information and implications that may be of particular interest to members.</w:t>
      </w:r>
      <w:r w:rsidR="00095505">
        <w:t xml:space="preserve"> It does not aim to </w:t>
      </w:r>
      <w:r w:rsidR="00B021D7">
        <w:t xml:space="preserve">cover all announcements or developments </w:t>
      </w:r>
      <w:r w:rsidR="00095505">
        <w:t>that might impact members given that these will be widely covered elsewhere.</w:t>
      </w:r>
    </w:p>
    <w:p w14:paraId="7B5D9715" w14:textId="77777777" w:rsidR="00A66FC8" w:rsidRDefault="00A66FC8" w:rsidP="000E246D">
      <w:pPr>
        <w:spacing w:line="280" w:lineRule="atLeast"/>
      </w:pPr>
    </w:p>
    <w:p w14:paraId="28D9235D" w14:textId="77777777" w:rsidR="00756264" w:rsidRPr="00B021D7" w:rsidRDefault="2814F11C" w:rsidP="001C6CB1">
      <w:pPr>
        <w:pStyle w:val="Heading3"/>
        <w:keepNext w:val="0"/>
        <w:spacing w:line="280" w:lineRule="atLeast"/>
      </w:pPr>
      <w:r>
        <w:t>Economic and fiscal forecasts</w:t>
      </w:r>
    </w:p>
    <w:p w14:paraId="1CC65F9D" w14:textId="70D069B0" w:rsidR="00CF03A9" w:rsidRDefault="00CF03A9" w:rsidP="001C6CB1">
      <w:pPr>
        <w:spacing w:line="280" w:lineRule="atLeast"/>
      </w:pPr>
      <w:r>
        <w:t>There is not a new economic and fiscal forecast to accompany this Spending Review, as the OBR produced one in March (presented as part of the Chancellor’s “Spring Statement”) and will do so again alongside the Autumn Budget.</w:t>
      </w:r>
    </w:p>
    <w:p w14:paraId="5D97F948" w14:textId="772FE49E" w:rsidR="00350DC0" w:rsidRDefault="00CF03A9" w:rsidP="001C6CB1">
      <w:pPr>
        <w:spacing w:line="280" w:lineRule="atLeast"/>
      </w:pPr>
      <w:r>
        <w:lastRenderedPageBreak/>
        <w:t>This means that the forecast produced in March remains the Government’s official planning assumption, and the “envelope” of total spending allocated by the Spending Review is the one set out in March.</w:t>
      </w:r>
    </w:p>
    <w:p w14:paraId="1325DC6F" w14:textId="77777777" w:rsidR="00554EDA" w:rsidRPr="00B021D7" w:rsidRDefault="00554EDA" w:rsidP="001C6CB1">
      <w:pPr>
        <w:spacing w:line="280" w:lineRule="atLeast"/>
      </w:pPr>
    </w:p>
    <w:p w14:paraId="4DFD4529" w14:textId="1451D9B3" w:rsidR="2814F11C" w:rsidRDefault="005E5F2D" w:rsidP="001C6CB1">
      <w:pPr>
        <w:pStyle w:val="Heading3"/>
        <w:keepNext w:val="0"/>
        <w:spacing w:line="280" w:lineRule="atLeast"/>
      </w:pPr>
      <w:r>
        <w:t>Overall</w:t>
      </w:r>
      <w:r w:rsidR="50FDD320">
        <w:t xml:space="preserve"> spending plans for 2026-29</w:t>
      </w:r>
    </w:p>
    <w:p w14:paraId="5D0EB9D4" w14:textId="4509B4DD" w:rsidR="000E246D" w:rsidRDefault="005E5F2D" w:rsidP="001C6CB1">
      <w:pPr>
        <w:spacing w:line="280" w:lineRule="atLeast"/>
      </w:pPr>
      <w:r>
        <w:t>The Government’s Autumn Budget included key tax measures aimed at increasing revenues over the coming period, the largest of these being the increase in employers’ national insurance contributions, and reformed fiscal rules t</w:t>
      </w:r>
      <w:r w:rsidR="005F7C6F">
        <w:t>hat</w:t>
      </w:r>
      <w:r>
        <w:t xml:space="preserve"> allow additional borrowing for public investment</w:t>
      </w:r>
      <w:r w:rsidR="005F7C6F">
        <w:t xml:space="preserve"> as well as scope to use loans and guarantees to support private investment without it adding to public debt</w:t>
      </w:r>
      <w:r>
        <w:t xml:space="preserve">. </w:t>
      </w:r>
    </w:p>
    <w:p w14:paraId="3894DAF4" w14:textId="790201DF" w:rsidR="005E5F2D" w:rsidRDefault="005E5F2D" w:rsidP="001C6CB1">
      <w:pPr>
        <w:spacing w:line="280" w:lineRule="atLeast"/>
      </w:pPr>
      <w:r>
        <w:t>This enabled the Chancellor to pencil in significant increases in public spending over the parliament.</w:t>
      </w:r>
    </w:p>
    <w:p w14:paraId="0F7CCFED" w14:textId="77777777" w:rsidR="000E246D" w:rsidRDefault="005E5F2D" w:rsidP="001C6CB1">
      <w:pPr>
        <w:spacing w:line="280" w:lineRule="atLeast"/>
      </w:pPr>
      <w:r>
        <w:t xml:space="preserve">In March a deteriorating economic and fiscal forecast forced the Government to </w:t>
      </w:r>
      <w:r w:rsidR="50FDD320">
        <w:t>cut the amount of money earmarked for departmental current spending over the Spending Review period 2026-27 to 2028-20</w:t>
      </w:r>
      <w:r>
        <w:t xml:space="preserve">. </w:t>
      </w:r>
    </w:p>
    <w:p w14:paraId="3DE623F9" w14:textId="33499BFF" w:rsidR="2814F11C" w:rsidRDefault="0064242C" w:rsidP="001C6CB1">
      <w:pPr>
        <w:spacing w:line="280" w:lineRule="atLeast"/>
      </w:pPr>
      <w:r>
        <w:t>Nevertheless,</w:t>
      </w:r>
      <w:r w:rsidR="005E5F2D">
        <w:t xml:space="preserve"> its spending plans </w:t>
      </w:r>
      <w:r w:rsidR="50FDD320">
        <w:t xml:space="preserve">remain much more generous than those pencilled in by the last Government at the March 2024 budget. </w:t>
      </w:r>
    </w:p>
    <w:p w14:paraId="64E9D7C9" w14:textId="48A07123" w:rsidR="34CD8884" w:rsidRDefault="34CD8884" w:rsidP="001C6CB1">
      <w:pPr>
        <w:spacing w:line="280" w:lineRule="atLeast"/>
      </w:pPr>
    </w:p>
    <w:p w14:paraId="5D68F797" w14:textId="75961DD0" w:rsidR="7108BC08" w:rsidRDefault="00E1593A" w:rsidP="001C6CB1">
      <w:pPr>
        <w:spacing w:line="280" w:lineRule="atLeast"/>
        <w:jc w:val="center"/>
      </w:pPr>
      <w:r>
        <w:rPr>
          <w:noProof/>
        </w:rPr>
        <w:drawing>
          <wp:inline distT="0" distB="0" distL="0" distR="0" wp14:anchorId="0E60C0FB" wp14:editId="034462F3">
            <wp:extent cx="5773420" cy="3566160"/>
            <wp:effectExtent l="0" t="0" r="3810" b="1270"/>
            <wp:docPr id="21450425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3420" cy="3566160"/>
                    </a:xfrm>
                    <a:prstGeom prst="rect">
                      <a:avLst/>
                    </a:prstGeom>
                    <a:noFill/>
                  </pic:spPr>
                </pic:pic>
              </a:graphicData>
            </a:graphic>
          </wp:inline>
        </w:drawing>
      </w:r>
    </w:p>
    <w:p w14:paraId="1DAF1D60" w14:textId="77777777" w:rsidR="003234FB" w:rsidRPr="003234FB" w:rsidRDefault="003234FB" w:rsidP="003234FB">
      <w:pPr>
        <w:spacing w:line="280" w:lineRule="atLeast"/>
        <w:jc w:val="right"/>
        <w:rPr>
          <w:i/>
          <w:iCs/>
        </w:rPr>
      </w:pPr>
      <w:r>
        <w:rPr>
          <w:i/>
          <w:iCs/>
        </w:rPr>
        <w:t>Source: Prospect analysis of OBR data</w:t>
      </w:r>
    </w:p>
    <w:p w14:paraId="0439F592" w14:textId="37C0E967" w:rsidR="34CD8884" w:rsidRDefault="34CD8884" w:rsidP="001C6CB1">
      <w:pPr>
        <w:spacing w:line="280" w:lineRule="atLeast"/>
      </w:pPr>
    </w:p>
    <w:p w14:paraId="401B8A5A" w14:textId="40C38892" w:rsidR="005E5F2D" w:rsidRDefault="003234FB" w:rsidP="001C6CB1">
      <w:pPr>
        <w:spacing w:line="280" w:lineRule="atLeast"/>
        <w:jc w:val="center"/>
      </w:pPr>
      <w:r>
        <w:rPr>
          <w:noProof/>
        </w:rPr>
        <w:lastRenderedPageBreak/>
        <w:drawing>
          <wp:inline distT="0" distB="0" distL="0" distR="0" wp14:anchorId="41266418" wp14:editId="32BF8246">
            <wp:extent cx="5815965" cy="3566160"/>
            <wp:effectExtent l="0" t="0" r="0" b="0"/>
            <wp:docPr id="1698235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15965" cy="3566160"/>
                    </a:xfrm>
                    <a:prstGeom prst="rect">
                      <a:avLst/>
                    </a:prstGeom>
                    <a:noFill/>
                  </pic:spPr>
                </pic:pic>
              </a:graphicData>
            </a:graphic>
          </wp:inline>
        </w:drawing>
      </w:r>
    </w:p>
    <w:p w14:paraId="1C8FAE6F" w14:textId="6F53482B" w:rsidR="00E1593A" w:rsidRPr="003234FB" w:rsidRDefault="003234FB" w:rsidP="003234FB">
      <w:pPr>
        <w:spacing w:line="280" w:lineRule="atLeast"/>
        <w:jc w:val="right"/>
        <w:rPr>
          <w:i/>
          <w:iCs/>
        </w:rPr>
      </w:pPr>
      <w:r>
        <w:rPr>
          <w:i/>
          <w:iCs/>
        </w:rPr>
        <w:t>Source: Prospect analysis of OBR data</w:t>
      </w:r>
    </w:p>
    <w:p w14:paraId="4B1A5CF7" w14:textId="04FBF188" w:rsidR="009040CB" w:rsidRDefault="007A3EDE" w:rsidP="001C6CB1">
      <w:pPr>
        <w:spacing w:line="280" w:lineRule="atLeast"/>
      </w:pPr>
      <w:r>
        <w:t>M</w:t>
      </w:r>
      <w:r w:rsidR="005E5F2D">
        <w:t xml:space="preserve">uch of the growth in </w:t>
      </w:r>
      <w:r w:rsidR="00E1593A">
        <w:t xml:space="preserve">current </w:t>
      </w:r>
      <w:r w:rsidR="005E5F2D">
        <w:t xml:space="preserve">public spending </w:t>
      </w:r>
      <w:r w:rsidR="003816EA">
        <w:t xml:space="preserve">has been </w:t>
      </w:r>
      <w:r w:rsidR="005E5F2D">
        <w:t>allocated to the NHS</w:t>
      </w:r>
      <w:r w:rsidR="003816EA">
        <w:t xml:space="preserve"> and a few other priority areas</w:t>
      </w:r>
      <w:r w:rsidR="005E5F2D">
        <w:t xml:space="preserve">, and </w:t>
      </w:r>
      <w:proofErr w:type="gramStart"/>
      <w:r w:rsidR="003816EA">
        <w:t>a number of</w:t>
      </w:r>
      <w:proofErr w:type="gramEnd"/>
      <w:r w:rsidR="003816EA">
        <w:t xml:space="preserve"> </w:t>
      </w:r>
      <w:r w:rsidR="005E5F2D">
        <w:t xml:space="preserve">other areas of spending will face very tight </w:t>
      </w:r>
      <w:proofErr w:type="gramStart"/>
      <w:r w:rsidR="005E5F2D">
        <w:t>and in some cases</w:t>
      </w:r>
      <w:proofErr w:type="gramEnd"/>
      <w:r w:rsidR="005E5F2D">
        <w:t xml:space="preserve"> contracting real terms budgets in the years following 2025-26.</w:t>
      </w:r>
    </w:p>
    <w:p w14:paraId="35B4C872" w14:textId="16C2A0BE" w:rsidR="003B51CA" w:rsidRDefault="007A3EDE" w:rsidP="001C6CB1">
      <w:pPr>
        <w:spacing w:line="280" w:lineRule="atLeast"/>
      </w:pPr>
      <w:r w:rsidRPr="007A3EDE">
        <w:rPr>
          <w:noProof/>
        </w:rPr>
        <w:drawing>
          <wp:inline distT="0" distB="0" distL="0" distR="0" wp14:anchorId="3C079F62" wp14:editId="41848893">
            <wp:extent cx="5783580" cy="4316204"/>
            <wp:effectExtent l="0" t="0" r="7620" b="8255"/>
            <wp:docPr id="11952340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8919" cy="4320188"/>
                    </a:xfrm>
                    <a:prstGeom prst="rect">
                      <a:avLst/>
                    </a:prstGeom>
                    <a:noFill/>
                  </pic:spPr>
                </pic:pic>
              </a:graphicData>
            </a:graphic>
          </wp:inline>
        </w:drawing>
      </w:r>
    </w:p>
    <w:p w14:paraId="01160219" w14:textId="0E91A88D" w:rsidR="003234FB" w:rsidRPr="003234FB" w:rsidRDefault="003234FB" w:rsidP="003234FB">
      <w:pPr>
        <w:spacing w:line="280" w:lineRule="atLeast"/>
        <w:jc w:val="right"/>
        <w:rPr>
          <w:i/>
          <w:iCs/>
          <w:lang w:eastAsia="en-US"/>
        </w:rPr>
      </w:pPr>
      <w:r>
        <w:rPr>
          <w:i/>
          <w:iCs/>
          <w:lang w:eastAsia="en-US"/>
        </w:rPr>
        <w:t>Source: Prospect analysis of HMT data</w:t>
      </w:r>
    </w:p>
    <w:p w14:paraId="21559005" w14:textId="77777777" w:rsidR="003234FB" w:rsidRPr="007A3EDE" w:rsidRDefault="003234FB" w:rsidP="001C6CB1">
      <w:pPr>
        <w:spacing w:line="280" w:lineRule="atLeast"/>
      </w:pPr>
    </w:p>
    <w:p w14:paraId="11A74B99" w14:textId="1F2D73F9" w:rsidR="007A3EDE" w:rsidRDefault="007A3EDE" w:rsidP="000E246D">
      <w:pPr>
        <w:spacing w:line="280" w:lineRule="atLeast"/>
        <w:ind w:left="-1701" w:right="-1701"/>
        <w:jc w:val="center"/>
        <w:rPr>
          <w:lang w:eastAsia="en-US"/>
        </w:rPr>
      </w:pPr>
      <w:r>
        <w:rPr>
          <w:noProof/>
          <w:lang w:eastAsia="en-US"/>
        </w:rPr>
        <w:drawing>
          <wp:inline distT="0" distB="0" distL="0" distR="0" wp14:anchorId="43FE8993" wp14:editId="3EDF9EEF">
            <wp:extent cx="3452400" cy="2880000"/>
            <wp:effectExtent l="0" t="0" r="0" b="0"/>
            <wp:docPr id="7166180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52400" cy="2880000"/>
                    </a:xfrm>
                    <a:prstGeom prst="rect">
                      <a:avLst/>
                    </a:prstGeom>
                    <a:noFill/>
                  </pic:spPr>
                </pic:pic>
              </a:graphicData>
            </a:graphic>
          </wp:inline>
        </w:drawing>
      </w:r>
      <w:r>
        <w:rPr>
          <w:noProof/>
          <w:lang w:eastAsia="en-US"/>
        </w:rPr>
        <w:drawing>
          <wp:inline distT="0" distB="0" distL="0" distR="0" wp14:anchorId="0DCECBCF" wp14:editId="2DC6CE28">
            <wp:extent cx="3459600" cy="2880000"/>
            <wp:effectExtent l="0" t="0" r="7620" b="0"/>
            <wp:docPr id="656394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59600" cy="2880000"/>
                    </a:xfrm>
                    <a:prstGeom prst="rect">
                      <a:avLst/>
                    </a:prstGeom>
                    <a:noFill/>
                  </pic:spPr>
                </pic:pic>
              </a:graphicData>
            </a:graphic>
          </wp:inline>
        </w:drawing>
      </w:r>
      <w:r>
        <w:rPr>
          <w:noProof/>
          <w:lang w:eastAsia="en-US"/>
        </w:rPr>
        <w:drawing>
          <wp:inline distT="0" distB="0" distL="0" distR="0" wp14:anchorId="208DFE57" wp14:editId="2701A055">
            <wp:extent cx="3452400" cy="2880000"/>
            <wp:effectExtent l="0" t="0" r="0" b="0"/>
            <wp:docPr id="13652075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2400" cy="2880000"/>
                    </a:xfrm>
                    <a:prstGeom prst="rect">
                      <a:avLst/>
                    </a:prstGeom>
                    <a:noFill/>
                  </pic:spPr>
                </pic:pic>
              </a:graphicData>
            </a:graphic>
          </wp:inline>
        </w:drawing>
      </w:r>
      <w:r>
        <w:rPr>
          <w:noProof/>
          <w:lang w:eastAsia="en-US"/>
        </w:rPr>
        <w:drawing>
          <wp:inline distT="0" distB="0" distL="0" distR="0" wp14:anchorId="0F1C4967" wp14:editId="0470947B">
            <wp:extent cx="3448800" cy="2880000"/>
            <wp:effectExtent l="0" t="0" r="0" b="0"/>
            <wp:docPr id="15855615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48800" cy="2880000"/>
                    </a:xfrm>
                    <a:prstGeom prst="rect">
                      <a:avLst/>
                    </a:prstGeom>
                    <a:noFill/>
                  </pic:spPr>
                </pic:pic>
              </a:graphicData>
            </a:graphic>
          </wp:inline>
        </w:drawing>
      </w:r>
      <w:r>
        <w:rPr>
          <w:noProof/>
          <w:lang w:eastAsia="en-US"/>
        </w:rPr>
        <w:drawing>
          <wp:inline distT="0" distB="0" distL="0" distR="0" wp14:anchorId="2F4E5844" wp14:editId="6DFCDD9D">
            <wp:extent cx="3459600" cy="2880000"/>
            <wp:effectExtent l="0" t="0" r="7620" b="0"/>
            <wp:docPr id="8707899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9600" cy="2880000"/>
                    </a:xfrm>
                    <a:prstGeom prst="rect">
                      <a:avLst/>
                    </a:prstGeom>
                    <a:noFill/>
                  </pic:spPr>
                </pic:pic>
              </a:graphicData>
            </a:graphic>
          </wp:inline>
        </w:drawing>
      </w:r>
      <w:r>
        <w:rPr>
          <w:noProof/>
          <w:lang w:eastAsia="en-US"/>
        </w:rPr>
        <w:drawing>
          <wp:inline distT="0" distB="0" distL="0" distR="0" wp14:anchorId="5CB42CD3" wp14:editId="18CED350">
            <wp:extent cx="3459600" cy="2880000"/>
            <wp:effectExtent l="0" t="0" r="7620" b="0"/>
            <wp:docPr id="15728984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59600" cy="2880000"/>
                    </a:xfrm>
                    <a:prstGeom prst="rect">
                      <a:avLst/>
                    </a:prstGeom>
                    <a:noFill/>
                  </pic:spPr>
                </pic:pic>
              </a:graphicData>
            </a:graphic>
          </wp:inline>
        </w:drawing>
      </w:r>
    </w:p>
    <w:p w14:paraId="1868258A" w14:textId="595FDB54" w:rsidR="007A3EDE" w:rsidRPr="003234FB" w:rsidRDefault="003234FB" w:rsidP="003234FB">
      <w:pPr>
        <w:spacing w:line="280" w:lineRule="atLeast"/>
        <w:jc w:val="right"/>
        <w:rPr>
          <w:i/>
          <w:iCs/>
          <w:lang w:eastAsia="en-US"/>
        </w:rPr>
      </w:pPr>
      <w:r>
        <w:rPr>
          <w:i/>
          <w:iCs/>
          <w:lang w:eastAsia="en-US"/>
        </w:rPr>
        <w:t>Source: Prospect analysis of HMT and OBR data</w:t>
      </w:r>
    </w:p>
    <w:p w14:paraId="1746E83A" w14:textId="10BA482C" w:rsidR="007A3EDE" w:rsidRDefault="00BF2804" w:rsidP="00BF2804">
      <w:pPr>
        <w:spacing w:line="280" w:lineRule="atLeast"/>
        <w:ind w:left="-1134" w:right="-1134"/>
        <w:rPr>
          <w:lang w:eastAsia="en-US"/>
        </w:rPr>
      </w:pPr>
      <w:r>
        <w:rPr>
          <w:noProof/>
          <w:lang w:eastAsia="en-US"/>
        </w:rPr>
        <w:lastRenderedPageBreak/>
        <w:drawing>
          <wp:inline distT="0" distB="0" distL="0" distR="0" wp14:anchorId="4390955D" wp14:editId="60F6598B">
            <wp:extent cx="3434400" cy="2880000"/>
            <wp:effectExtent l="0" t="0" r="0" b="0"/>
            <wp:docPr id="16773045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4400" cy="2880000"/>
                    </a:xfrm>
                    <a:prstGeom prst="rect">
                      <a:avLst/>
                    </a:prstGeom>
                    <a:noFill/>
                  </pic:spPr>
                </pic:pic>
              </a:graphicData>
            </a:graphic>
          </wp:inline>
        </w:drawing>
      </w:r>
      <w:r>
        <w:rPr>
          <w:noProof/>
          <w:lang w:eastAsia="en-US"/>
        </w:rPr>
        <w:drawing>
          <wp:inline distT="0" distB="0" distL="0" distR="0" wp14:anchorId="54151A11" wp14:editId="2F7C69BD">
            <wp:extent cx="3427200" cy="2880000"/>
            <wp:effectExtent l="0" t="0" r="1905" b="0"/>
            <wp:docPr id="11759267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27200" cy="2880000"/>
                    </a:xfrm>
                    <a:prstGeom prst="rect">
                      <a:avLst/>
                    </a:prstGeom>
                    <a:noFill/>
                  </pic:spPr>
                </pic:pic>
              </a:graphicData>
            </a:graphic>
          </wp:inline>
        </w:drawing>
      </w:r>
    </w:p>
    <w:p w14:paraId="219D75DE" w14:textId="77777777" w:rsidR="00BF2804" w:rsidRPr="003234FB" w:rsidRDefault="00BF2804" w:rsidP="00BF2804">
      <w:pPr>
        <w:spacing w:line="280" w:lineRule="atLeast"/>
        <w:jc w:val="right"/>
        <w:rPr>
          <w:i/>
          <w:iCs/>
          <w:lang w:eastAsia="en-US"/>
        </w:rPr>
      </w:pPr>
      <w:r>
        <w:rPr>
          <w:i/>
          <w:iCs/>
          <w:lang w:eastAsia="en-US"/>
        </w:rPr>
        <w:t>Source: Prospect analysis of HMT and OBR data</w:t>
      </w:r>
    </w:p>
    <w:p w14:paraId="37E3E6D9" w14:textId="77777777" w:rsidR="009F4B6D" w:rsidRDefault="009F4B6D" w:rsidP="001C6CB1">
      <w:pPr>
        <w:spacing w:line="280" w:lineRule="atLeast"/>
        <w:rPr>
          <w:lang w:eastAsia="en-US"/>
        </w:rPr>
      </w:pPr>
    </w:p>
    <w:p w14:paraId="60A64E61" w14:textId="76B27949" w:rsidR="00BF2804" w:rsidRDefault="00692855" w:rsidP="001C6CB1">
      <w:pPr>
        <w:spacing w:line="280" w:lineRule="atLeast"/>
        <w:rPr>
          <w:lang w:eastAsia="en-US"/>
        </w:rPr>
      </w:pPr>
      <w:r>
        <w:rPr>
          <w:lang w:eastAsia="en-US"/>
        </w:rPr>
        <w:t xml:space="preserve">The largest increases in capital expenditure compared to the final year of the previous Government will be seen by defence, energy (including commitments to Sizewell C), science, innovation and technology, health, and transport (excluding HS2 which falls), </w:t>
      </w:r>
    </w:p>
    <w:p w14:paraId="55309E11" w14:textId="77777777" w:rsidR="00692855" w:rsidRDefault="00692855" w:rsidP="00692855">
      <w:pPr>
        <w:spacing w:line="280" w:lineRule="atLeast"/>
        <w:ind w:left="-1134" w:right="-1134"/>
        <w:rPr>
          <w:lang w:eastAsia="en-US"/>
        </w:rPr>
      </w:pPr>
    </w:p>
    <w:p w14:paraId="654D6816" w14:textId="6B56F931" w:rsidR="00692855" w:rsidRDefault="00692855" w:rsidP="00692855">
      <w:pPr>
        <w:spacing w:line="280" w:lineRule="atLeast"/>
        <w:ind w:left="-1134" w:right="-1134"/>
        <w:rPr>
          <w:lang w:eastAsia="en-US"/>
        </w:rPr>
      </w:pPr>
      <w:r>
        <w:rPr>
          <w:noProof/>
          <w:lang w:eastAsia="en-US"/>
        </w:rPr>
        <w:drawing>
          <wp:inline distT="0" distB="0" distL="0" distR="0" wp14:anchorId="6D2AAAEE" wp14:editId="6F8A6A58">
            <wp:extent cx="7360190" cy="4033284"/>
            <wp:effectExtent l="0" t="0" r="0" b="5715"/>
            <wp:docPr id="909214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408315" cy="4059656"/>
                    </a:xfrm>
                    <a:prstGeom prst="rect">
                      <a:avLst/>
                    </a:prstGeom>
                    <a:noFill/>
                  </pic:spPr>
                </pic:pic>
              </a:graphicData>
            </a:graphic>
          </wp:inline>
        </w:drawing>
      </w:r>
    </w:p>
    <w:p w14:paraId="5C3E7E41" w14:textId="7E9D605C" w:rsidR="00692855" w:rsidRPr="00692855" w:rsidRDefault="00692855" w:rsidP="00692855">
      <w:pPr>
        <w:spacing w:line="280" w:lineRule="atLeast"/>
        <w:jc w:val="right"/>
        <w:rPr>
          <w:i/>
          <w:iCs/>
          <w:lang w:eastAsia="en-US"/>
        </w:rPr>
      </w:pPr>
      <w:r>
        <w:rPr>
          <w:i/>
          <w:iCs/>
          <w:lang w:eastAsia="en-US"/>
        </w:rPr>
        <w:t>Source: Prospect analysis of HMT and OBR data</w:t>
      </w:r>
    </w:p>
    <w:p w14:paraId="2BEBEA41" w14:textId="77777777" w:rsidR="00692855" w:rsidRDefault="00692855" w:rsidP="001C6CB1">
      <w:pPr>
        <w:spacing w:line="280" w:lineRule="atLeast"/>
        <w:rPr>
          <w:lang w:eastAsia="en-US"/>
        </w:rPr>
      </w:pPr>
    </w:p>
    <w:p w14:paraId="72E153D2" w14:textId="5915234B" w:rsidR="0063603C" w:rsidRPr="00B021D7" w:rsidRDefault="7DFDEE00" w:rsidP="001C6CB1">
      <w:pPr>
        <w:pStyle w:val="Heading3"/>
        <w:keepNext w:val="0"/>
        <w:spacing w:before="0" w:after="180" w:line="280" w:lineRule="atLeast"/>
      </w:pPr>
      <w:r>
        <w:lastRenderedPageBreak/>
        <w:t>Announcements of interest to key sectors</w:t>
      </w:r>
    </w:p>
    <w:p w14:paraId="65AEB3F0" w14:textId="79F13834" w:rsidR="6C1CB8F5" w:rsidRDefault="6C1CB8F5" w:rsidP="001C6CB1">
      <w:pPr>
        <w:spacing w:line="280" w:lineRule="atLeast"/>
        <w:rPr>
          <w:rFonts w:eastAsia="Calibri"/>
          <w:i/>
          <w:iCs/>
          <w:highlight w:val="yellow"/>
        </w:rPr>
      </w:pPr>
    </w:p>
    <w:p w14:paraId="708A743A" w14:textId="77777777" w:rsidR="009F4B6D" w:rsidRDefault="009F4B6D" w:rsidP="001C6CB1">
      <w:pPr>
        <w:spacing w:line="280" w:lineRule="atLeast"/>
        <w:rPr>
          <w:rFonts w:eastAsia="Calibri"/>
          <w:i/>
          <w:iCs/>
          <w:highlight w:val="yellow"/>
        </w:rPr>
      </w:pPr>
    </w:p>
    <w:p w14:paraId="32F099BD" w14:textId="77777777" w:rsidR="00E77709" w:rsidRPr="007765BD" w:rsidRDefault="00E77709" w:rsidP="001C6CB1">
      <w:pPr>
        <w:spacing w:line="280" w:lineRule="atLeast"/>
        <w:rPr>
          <w:rFonts w:eastAsia="Calibri"/>
          <w:iCs/>
        </w:rPr>
      </w:pPr>
      <w:r w:rsidRPr="007765BD">
        <w:rPr>
          <w:rFonts w:eastAsia="Calibri"/>
          <w:i/>
        </w:rPr>
        <w:t>Aviation</w:t>
      </w:r>
    </w:p>
    <w:p w14:paraId="5BB6E1F3" w14:textId="56CBB251" w:rsidR="00E77709" w:rsidRPr="001C6CB1" w:rsidRDefault="007765BD" w:rsidP="001C6CB1">
      <w:pPr>
        <w:spacing w:line="280" w:lineRule="atLeast"/>
        <w:rPr>
          <w:rFonts w:eastAsia="Calibri"/>
        </w:rPr>
      </w:pPr>
      <w:r w:rsidRPr="007765BD">
        <w:rPr>
          <w:rFonts w:eastAsia="Calibri"/>
        </w:rPr>
        <w:t xml:space="preserve">The Spending Review extends the Advanced Fuels Fund to 2029-30. No detailed figures are provided </w:t>
      </w:r>
      <w:r w:rsidRPr="001C6CB1">
        <w:rPr>
          <w:rFonts w:eastAsia="Calibri"/>
        </w:rPr>
        <w:t>but previous announcements indicated that since its launch the Fund has allocated over £135</w:t>
      </w:r>
      <w:r w:rsidR="006E36A6">
        <w:rPr>
          <w:rFonts w:eastAsia="Calibri"/>
        </w:rPr>
        <w:t>m</w:t>
      </w:r>
      <w:r w:rsidRPr="001C6CB1">
        <w:rPr>
          <w:rFonts w:eastAsia="Calibri"/>
        </w:rPr>
        <w:t xml:space="preserve"> in </w:t>
      </w:r>
      <w:r w:rsidR="006E36A6">
        <w:rPr>
          <w:rFonts w:eastAsia="Calibri"/>
        </w:rPr>
        <w:t>w</w:t>
      </w:r>
      <w:r w:rsidRPr="001C6CB1">
        <w:rPr>
          <w:rFonts w:eastAsia="Calibri"/>
        </w:rPr>
        <w:t>indows 1 and 2</w:t>
      </w:r>
      <w:r w:rsidRPr="001C6CB1">
        <w:rPr>
          <w:rStyle w:val="FootnoteReference"/>
          <w:rFonts w:eastAsia="Calibri"/>
        </w:rPr>
        <w:footnoteReference w:id="2"/>
      </w:r>
      <w:r w:rsidRPr="001C6CB1">
        <w:rPr>
          <w:rFonts w:eastAsia="Calibri"/>
        </w:rPr>
        <w:t xml:space="preserve"> and a further </w:t>
      </w:r>
      <w:r w:rsidR="006E36A6">
        <w:rPr>
          <w:rFonts w:eastAsia="Calibri"/>
        </w:rPr>
        <w:t>£</w:t>
      </w:r>
      <w:r w:rsidRPr="001C6CB1">
        <w:rPr>
          <w:rFonts w:eastAsia="Calibri"/>
        </w:rPr>
        <w:t>63m in 2025.</w:t>
      </w:r>
      <w:r w:rsidRPr="001C6CB1">
        <w:rPr>
          <w:rStyle w:val="FootnoteReference"/>
          <w:rFonts w:eastAsia="Calibri"/>
        </w:rPr>
        <w:footnoteReference w:id="3"/>
      </w:r>
    </w:p>
    <w:p w14:paraId="79EDCBE9" w14:textId="00FABC5C" w:rsidR="007765BD" w:rsidRPr="001C6CB1" w:rsidRDefault="007765BD" w:rsidP="001C6CB1">
      <w:pPr>
        <w:spacing w:line="280" w:lineRule="atLeast"/>
        <w:rPr>
          <w:rFonts w:eastAsia="Calibri"/>
        </w:rPr>
      </w:pPr>
      <w:r w:rsidRPr="001C6CB1">
        <w:rPr>
          <w:rFonts w:eastAsia="Calibri"/>
        </w:rPr>
        <w:t>Ahead of the 2020 Spending Review the Sustainable Aviation Coalition called for £500m to be committed over three years.</w:t>
      </w:r>
      <w:r w:rsidRPr="001C6CB1">
        <w:rPr>
          <w:rStyle w:val="FootnoteReference"/>
          <w:rFonts w:eastAsia="Calibri"/>
        </w:rPr>
        <w:footnoteReference w:id="4"/>
      </w:r>
    </w:p>
    <w:p w14:paraId="4D51A5DE" w14:textId="77777777" w:rsidR="00E77709" w:rsidRPr="001C6CB1" w:rsidRDefault="00E77709" w:rsidP="001C6CB1">
      <w:pPr>
        <w:spacing w:line="280" w:lineRule="atLeast"/>
        <w:rPr>
          <w:rFonts w:eastAsia="Calibri"/>
        </w:rPr>
      </w:pPr>
    </w:p>
    <w:p w14:paraId="0EEC4F8B" w14:textId="71A0C5C3" w:rsidR="007765BD" w:rsidRPr="001C6CB1" w:rsidRDefault="00E77709" w:rsidP="001C6CB1">
      <w:pPr>
        <w:spacing w:line="280" w:lineRule="atLeast"/>
        <w:rPr>
          <w:rFonts w:eastAsia="Calibri"/>
          <w:i/>
          <w:iCs/>
        </w:rPr>
      </w:pPr>
      <w:r w:rsidRPr="001C6CB1">
        <w:rPr>
          <w:rFonts w:eastAsia="Calibri"/>
          <w:i/>
          <w:iCs/>
        </w:rPr>
        <w:t>Creative industries</w:t>
      </w:r>
    </w:p>
    <w:p w14:paraId="119A395D" w14:textId="28FB0CA2" w:rsidR="007765BD" w:rsidRPr="001C6CB1" w:rsidRDefault="007765BD" w:rsidP="001C6CB1">
      <w:pPr>
        <w:spacing w:line="280" w:lineRule="atLeast"/>
        <w:rPr>
          <w:rFonts w:eastAsia="Calibri"/>
        </w:rPr>
      </w:pPr>
      <w:r w:rsidRPr="001C6CB1">
        <w:rPr>
          <w:rFonts w:eastAsia="Calibri"/>
        </w:rPr>
        <w:t>The Spending Review states that it is providing “a significant increase in funding for the creative industries as one of the government’s eight growth driving sectors”. This includes:</w:t>
      </w:r>
    </w:p>
    <w:p w14:paraId="2CA65B7A" w14:textId="45310727" w:rsidR="007765BD" w:rsidRPr="001C6CB1" w:rsidRDefault="001C6CB1" w:rsidP="00AA691D">
      <w:pPr>
        <w:pStyle w:val="ListParagraph"/>
        <w:numPr>
          <w:ilvl w:val="0"/>
          <w:numId w:val="8"/>
        </w:numPr>
        <w:spacing w:line="280" w:lineRule="atLeast"/>
        <w:ind w:left="714" w:hanging="357"/>
        <w:contextualSpacing w:val="0"/>
        <w:rPr>
          <w:rFonts w:eastAsia="Calibri"/>
        </w:rPr>
      </w:pPr>
      <w:r w:rsidRPr="001C6CB1">
        <w:rPr>
          <w:rFonts w:eastAsia="Calibri"/>
        </w:rPr>
        <w:t>“</w:t>
      </w:r>
      <w:r w:rsidR="007765BD" w:rsidRPr="001C6CB1">
        <w:rPr>
          <w:rFonts w:eastAsia="Calibri"/>
        </w:rPr>
        <w:t>Transformative capital investment for culture, heritage, youth and sports infrastructure</w:t>
      </w:r>
      <w:r w:rsidRPr="001C6CB1">
        <w:rPr>
          <w:rFonts w:eastAsia="Calibri"/>
        </w:rPr>
        <w:t>”</w:t>
      </w:r>
    </w:p>
    <w:p w14:paraId="6381BD61" w14:textId="04EC3DAF" w:rsidR="007765BD" w:rsidRPr="001C6CB1" w:rsidRDefault="001C6CB1" w:rsidP="00AA691D">
      <w:pPr>
        <w:pStyle w:val="ListParagraph"/>
        <w:numPr>
          <w:ilvl w:val="0"/>
          <w:numId w:val="8"/>
        </w:numPr>
        <w:spacing w:line="280" w:lineRule="atLeast"/>
        <w:ind w:left="714" w:hanging="357"/>
        <w:contextualSpacing w:val="0"/>
        <w:rPr>
          <w:rFonts w:eastAsia="Calibri"/>
        </w:rPr>
      </w:pPr>
      <w:r w:rsidRPr="001C6CB1">
        <w:rPr>
          <w:rFonts w:eastAsia="Calibri"/>
        </w:rPr>
        <w:t>“</w:t>
      </w:r>
      <w:r w:rsidR="007765BD" w:rsidRPr="001C6CB1">
        <w:rPr>
          <w:rFonts w:eastAsia="Calibri"/>
        </w:rPr>
        <w:t>Funding for the UK’s world-leading culture and heritage sector, with billions over the SR period to fund celebrated institutions such as the National Museums and Galleries and organisations like Arts Council England</w:t>
      </w:r>
      <w:r w:rsidRPr="001C6CB1">
        <w:rPr>
          <w:rFonts w:eastAsia="Calibri"/>
        </w:rPr>
        <w:t>”</w:t>
      </w:r>
    </w:p>
    <w:p w14:paraId="73930D04" w14:textId="7607263B" w:rsidR="007765BD" w:rsidRPr="001C6CB1" w:rsidRDefault="001C6CB1" w:rsidP="00AA691D">
      <w:pPr>
        <w:pStyle w:val="ListParagraph"/>
        <w:numPr>
          <w:ilvl w:val="0"/>
          <w:numId w:val="8"/>
        </w:numPr>
        <w:spacing w:line="280" w:lineRule="atLeast"/>
        <w:ind w:left="714" w:hanging="357"/>
        <w:contextualSpacing w:val="0"/>
        <w:rPr>
          <w:rFonts w:eastAsia="Calibri"/>
        </w:rPr>
      </w:pPr>
      <w:r w:rsidRPr="001C6CB1">
        <w:rPr>
          <w:rFonts w:eastAsia="Calibri"/>
        </w:rPr>
        <w:t>“</w:t>
      </w:r>
      <w:proofErr w:type="gramStart"/>
      <w:r w:rsidR="007765BD" w:rsidRPr="001C6CB1">
        <w:rPr>
          <w:rFonts w:eastAsia="Calibri"/>
        </w:rPr>
        <w:t>funding</w:t>
      </w:r>
      <w:proofErr w:type="gramEnd"/>
      <w:r w:rsidR="007765BD" w:rsidRPr="001C6CB1">
        <w:rPr>
          <w:rFonts w:eastAsia="Calibri"/>
        </w:rPr>
        <w:t xml:space="preserve"> across the SR period to develop new youth facilities and improve existing ones, as well as further funding to support local youth service provision</w:t>
      </w:r>
      <w:r w:rsidRPr="001C6CB1">
        <w:rPr>
          <w:rFonts w:eastAsia="Calibri"/>
        </w:rPr>
        <w:t>”</w:t>
      </w:r>
    </w:p>
    <w:p w14:paraId="7082BB31" w14:textId="0B52A677" w:rsidR="001C6CB1" w:rsidRDefault="001C6CB1" w:rsidP="00AA691D">
      <w:pPr>
        <w:pStyle w:val="ListParagraph"/>
        <w:numPr>
          <w:ilvl w:val="0"/>
          <w:numId w:val="8"/>
        </w:numPr>
        <w:spacing w:line="280" w:lineRule="atLeast"/>
        <w:ind w:left="714" w:hanging="357"/>
        <w:contextualSpacing w:val="0"/>
        <w:rPr>
          <w:rFonts w:eastAsia="Calibri"/>
        </w:rPr>
      </w:pPr>
      <w:r w:rsidRPr="001C6CB1">
        <w:rPr>
          <w:rFonts w:eastAsia="Calibri"/>
        </w:rPr>
        <w:t>“Funding to deliver world-class major sporting events</w:t>
      </w:r>
      <w:r>
        <w:rPr>
          <w:rFonts w:eastAsia="Calibri"/>
        </w:rPr>
        <w:t>”</w:t>
      </w:r>
    </w:p>
    <w:p w14:paraId="0403C999" w14:textId="77777777" w:rsidR="00692855" w:rsidRDefault="00692855" w:rsidP="003234FB">
      <w:pPr>
        <w:spacing w:line="280" w:lineRule="atLeast"/>
        <w:rPr>
          <w:rFonts w:eastAsia="Calibri"/>
        </w:rPr>
      </w:pPr>
      <w:r>
        <w:rPr>
          <w:rFonts w:eastAsia="Calibri"/>
        </w:rPr>
        <w:t>Against official inflation forecasts, however, t</w:t>
      </w:r>
      <w:r w:rsidR="003234FB">
        <w:rPr>
          <w:rFonts w:eastAsia="Calibri"/>
        </w:rPr>
        <w:t xml:space="preserve">he Department of Culture, Media and Sport sees </w:t>
      </w:r>
      <w:proofErr w:type="gramStart"/>
      <w:r w:rsidR="003234FB">
        <w:rPr>
          <w:rFonts w:eastAsia="Calibri"/>
        </w:rPr>
        <w:t>a real terms</w:t>
      </w:r>
      <w:proofErr w:type="gramEnd"/>
      <w:r w:rsidR="003234FB">
        <w:rPr>
          <w:rFonts w:eastAsia="Calibri"/>
        </w:rPr>
        <w:t xml:space="preserve"> cut in </w:t>
      </w:r>
      <w:r>
        <w:rPr>
          <w:rFonts w:eastAsia="Calibri"/>
        </w:rPr>
        <w:t xml:space="preserve">both current and capital spend </w:t>
      </w:r>
      <w:r w:rsidR="003234FB">
        <w:rPr>
          <w:rFonts w:eastAsia="Calibri"/>
        </w:rPr>
        <w:t xml:space="preserve">once various adjustments such as NIC changes and one-off costs are </w:t>
      </w:r>
      <w:proofErr w:type="gramStart"/>
      <w:r w:rsidR="003234FB">
        <w:rPr>
          <w:rFonts w:eastAsia="Calibri"/>
        </w:rPr>
        <w:t>taken into account</w:t>
      </w:r>
      <w:proofErr w:type="gramEnd"/>
      <w:r w:rsidR="003234FB">
        <w:rPr>
          <w:rFonts w:eastAsia="Calibri"/>
        </w:rPr>
        <w:t xml:space="preserve">. </w:t>
      </w:r>
    </w:p>
    <w:p w14:paraId="06FAB5F2" w14:textId="435CB225" w:rsidR="006010E5" w:rsidRDefault="006010E5" w:rsidP="003234FB">
      <w:pPr>
        <w:spacing w:line="280" w:lineRule="atLeast"/>
        <w:rPr>
          <w:rFonts w:eastAsia="Calibri"/>
        </w:rPr>
      </w:pPr>
      <w:r>
        <w:rPr>
          <w:rFonts w:eastAsia="Calibri"/>
        </w:rPr>
        <w:t>According to Spending Review documentation, DCMS capital spending is set to fall an average 2.8% a year in real terms from 2025-26 to 2029-30.</w:t>
      </w:r>
    </w:p>
    <w:p w14:paraId="11295FD2" w14:textId="1DEC0EE3" w:rsidR="003234FB" w:rsidRDefault="003234FB" w:rsidP="003234FB">
      <w:pPr>
        <w:spacing w:line="280" w:lineRule="atLeast"/>
        <w:rPr>
          <w:rFonts w:eastAsia="Calibri"/>
        </w:rPr>
      </w:pPr>
      <w:r>
        <w:rPr>
          <w:rFonts w:eastAsia="Calibri"/>
        </w:rPr>
        <w:t xml:space="preserve">The reduction in annual current spending, of the order of £100m in real terms, </w:t>
      </w:r>
      <w:r w:rsidR="00577B19">
        <w:rPr>
          <w:rFonts w:eastAsia="Calibri"/>
        </w:rPr>
        <w:t>is on a similar scale to the Department’s entire “administration” spend, implying that “programme” spend via ALBs in areas such as arts and culture, heritage, libraries or sport may also be hit.</w:t>
      </w:r>
    </w:p>
    <w:p w14:paraId="4BE21B3E" w14:textId="657118B0" w:rsidR="006010E5" w:rsidRPr="003234FB" w:rsidRDefault="006010E5" w:rsidP="003234FB">
      <w:pPr>
        <w:spacing w:line="280" w:lineRule="atLeast"/>
        <w:rPr>
          <w:rFonts w:eastAsia="Calibri"/>
        </w:rPr>
      </w:pPr>
      <w:r>
        <w:rPr>
          <w:rFonts w:eastAsia="Calibri"/>
        </w:rPr>
        <w:t>Concerns about the potential negative impact on the cultural sector were expressed by SOLT &amp; UK Theatre, and the chair of the parliamentary Culture, Media and Sports Committee.</w:t>
      </w:r>
      <w:r>
        <w:rPr>
          <w:rStyle w:val="FootnoteReference"/>
          <w:rFonts w:eastAsia="Calibri"/>
        </w:rPr>
        <w:footnoteReference w:id="5"/>
      </w:r>
    </w:p>
    <w:p w14:paraId="252400F9" w14:textId="77777777" w:rsidR="00E77709" w:rsidRPr="00E77709" w:rsidRDefault="00E77709" w:rsidP="001C6CB1">
      <w:pPr>
        <w:spacing w:line="280" w:lineRule="atLeast"/>
        <w:rPr>
          <w:rFonts w:eastAsia="Calibri"/>
          <w:i/>
          <w:iCs/>
          <w:highlight w:val="yellow"/>
        </w:rPr>
      </w:pPr>
    </w:p>
    <w:p w14:paraId="7146146A" w14:textId="77777777" w:rsidR="00E77709" w:rsidRPr="001C6CB1" w:rsidRDefault="00E77709" w:rsidP="001C6CB1">
      <w:pPr>
        <w:spacing w:line="280" w:lineRule="atLeast"/>
        <w:rPr>
          <w:rFonts w:eastAsia="Calibri"/>
          <w:iCs/>
        </w:rPr>
      </w:pPr>
      <w:r w:rsidRPr="001C6CB1">
        <w:rPr>
          <w:rFonts w:eastAsia="Calibri"/>
          <w:i/>
        </w:rPr>
        <w:lastRenderedPageBreak/>
        <w:t>Defence</w:t>
      </w:r>
    </w:p>
    <w:p w14:paraId="09DD9427" w14:textId="07827839" w:rsidR="00E77709" w:rsidRPr="001C6CB1" w:rsidRDefault="001C6CB1" w:rsidP="001C6CB1">
      <w:pPr>
        <w:spacing w:line="280" w:lineRule="atLeast"/>
        <w:rPr>
          <w:rFonts w:eastAsia="Calibri"/>
        </w:rPr>
      </w:pPr>
      <w:r w:rsidRPr="001C6CB1">
        <w:rPr>
          <w:rFonts w:eastAsia="Calibri"/>
        </w:rPr>
        <w:t>The MOD’s budget to 2029-30 was already set out ahead of this Spending Review as part of the Spring Statement in March.</w:t>
      </w:r>
    </w:p>
    <w:p w14:paraId="148956C4" w14:textId="277B696C" w:rsidR="00E77709" w:rsidRPr="001C6CB1" w:rsidRDefault="00E77709" w:rsidP="001C6CB1">
      <w:pPr>
        <w:spacing w:line="280" w:lineRule="atLeast"/>
        <w:rPr>
          <w:rFonts w:eastAsia="Calibri"/>
        </w:rPr>
      </w:pPr>
      <w:r w:rsidRPr="001C6CB1">
        <w:rPr>
          <w:rFonts w:eastAsia="Calibri"/>
        </w:rPr>
        <w:t>This confirmed the previously announced commitment to increase spending to 2.5% of GDP by 2027-28, funded by a commensurate reduction in the overseas aid budget. It also announced that an initial step towards this would be made by adding 2.2bn to defence spending in 2025-26.</w:t>
      </w:r>
    </w:p>
    <w:p w14:paraId="73D25253" w14:textId="77777777" w:rsidR="00E77709" w:rsidRPr="001C6CB1" w:rsidRDefault="00E77709" w:rsidP="001C6CB1">
      <w:pPr>
        <w:spacing w:line="280" w:lineRule="atLeast"/>
        <w:rPr>
          <w:rFonts w:eastAsia="Calibri"/>
        </w:rPr>
      </w:pPr>
    </w:p>
    <w:p w14:paraId="66AD3209" w14:textId="77777777" w:rsidR="00E77709" w:rsidRPr="001C6CB1" w:rsidRDefault="00E77709" w:rsidP="001C6CB1">
      <w:pPr>
        <w:spacing w:line="280" w:lineRule="atLeast"/>
        <w:jc w:val="center"/>
      </w:pPr>
      <w:r w:rsidRPr="001C6CB1">
        <w:rPr>
          <w:noProof/>
        </w:rPr>
        <w:drawing>
          <wp:inline distT="0" distB="0" distL="0" distR="0" wp14:anchorId="0DB2A660" wp14:editId="4202C4F1">
            <wp:extent cx="5124450" cy="3309540"/>
            <wp:effectExtent l="0" t="0" r="0" b="0"/>
            <wp:docPr id="1313005986" name="Picture 1313005986" descr="A graph of a number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005986" name="Picture 1313005986" descr="A graph of a number of people&#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5124450" cy="3309540"/>
                    </a:xfrm>
                    <a:prstGeom prst="rect">
                      <a:avLst/>
                    </a:prstGeom>
                  </pic:spPr>
                </pic:pic>
              </a:graphicData>
            </a:graphic>
          </wp:inline>
        </w:drawing>
      </w:r>
    </w:p>
    <w:p w14:paraId="1D657517" w14:textId="77777777" w:rsidR="00E77709" w:rsidRPr="001C6CB1" w:rsidRDefault="00E77709" w:rsidP="001C6CB1">
      <w:pPr>
        <w:spacing w:line="280" w:lineRule="atLeast"/>
        <w:jc w:val="right"/>
        <w:rPr>
          <w:rFonts w:eastAsia="Calibri"/>
          <w:i/>
          <w:iCs/>
        </w:rPr>
      </w:pPr>
      <w:r w:rsidRPr="001C6CB1">
        <w:rPr>
          <w:rFonts w:eastAsia="Calibri"/>
          <w:i/>
          <w:iCs/>
        </w:rPr>
        <w:t>Source: Prospect analysis of HMT and OBR data</w:t>
      </w:r>
    </w:p>
    <w:p w14:paraId="5849A375" w14:textId="77777777" w:rsidR="00E77709" w:rsidRPr="001C6CB1" w:rsidRDefault="00E77709" w:rsidP="001C6CB1">
      <w:pPr>
        <w:spacing w:line="280" w:lineRule="atLeast"/>
        <w:rPr>
          <w:rFonts w:eastAsia="Calibri"/>
        </w:rPr>
      </w:pPr>
    </w:p>
    <w:p w14:paraId="1C10B0DF" w14:textId="77777777" w:rsidR="00E77709" w:rsidRPr="001C6CB1" w:rsidRDefault="00E77709" w:rsidP="001C6CB1">
      <w:pPr>
        <w:spacing w:line="280" w:lineRule="atLeast"/>
        <w:rPr>
          <w:rFonts w:eastAsia="Calibri"/>
        </w:rPr>
      </w:pPr>
      <w:r w:rsidRPr="001C6CB1">
        <w:rPr>
          <w:rFonts w:eastAsia="Calibri"/>
        </w:rPr>
        <w:t xml:space="preserve">Almost </w:t>
      </w:r>
      <w:proofErr w:type="gramStart"/>
      <w:r w:rsidRPr="001C6CB1">
        <w:rPr>
          <w:rFonts w:eastAsia="Calibri"/>
        </w:rPr>
        <w:t>all of</w:t>
      </w:r>
      <w:proofErr w:type="gramEnd"/>
      <w:r w:rsidRPr="001C6CB1">
        <w:rPr>
          <w:rFonts w:eastAsia="Calibri"/>
        </w:rPr>
        <w:t xml:space="preserve"> this increase in defence spending is allocated to capital, instead of current, budgets. Provisional analysis suggests that over the next five years the defence capital budget will grow by an average 7% a year in real terms while the current budget grows by just 1% a year in real terms. </w:t>
      </w:r>
    </w:p>
    <w:p w14:paraId="475E2E08" w14:textId="77777777" w:rsidR="00E77709" w:rsidRPr="001C6CB1" w:rsidRDefault="00E77709" w:rsidP="001C6CB1">
      <w:pPr>
        <w:spacing w:line="280" w:lineRule="atLeast"/>
        <w:rPr>
          <w:rFonts w:eastAsia="Calibri"/>
        </w:rPr>
      </w:pPr>
      <w:r w:rsidRPr="001C6CB1">
        <w:rPr>
          <w:rFonts w:eastAsia="Calibri"/>
        </w:rPr>
        <w:t xml:space="preserve">This means the increase to 2.5% of GDP is likely to be of greater benefit to defence suppliers and their workforce than armed forces personnel or civilian staff of MoD and its agencies, </w:t>
      </w:r>
      <w:proofErr w:type="gramStart"/>
      <w:r w:rsidRPr="001C6CB1">
        <w:rPr>
          <w:rFonts w:eastAsia="Calibri"/>
        </w:rPr>
        <w:t>with the exception of</w:t>
      </w:r>
      <w:proofErr w:type="gramEnd"/>
      <w:r w:rsidRPr="001C6CB1">
        <w:rPr>
          <w:rFonts w:eastAsia="Calibri"/>
        </w:rPr>
        <w:t xml:space="preserve"> those whose work can be classified as R&amp;D which means their employment can be funded from capital budgets.</w:t>
      </w:r>
    </w:p>
    <w:p w14:paraId="0318CCA4" w14:textId="77777777" w:rsidR="00E77709" w:rsidRPr="001C6CB1" w:rsidRDefault="00E77709" w:rsidP="001C6CB1">
      <w:pPr>
        <w:spacing w:line="280" w:lineRule="atLeast"/>
        <w:rPr>
          <w:rFonts w:eastAsia="Calibri"/>
        </w:rPr>
      </w:pPr>
      <w:r w:rsidRPr="001C6CB1">
        <w:rPr>
          <w:rFonts w:eastAsia="Calibri"/>
        </w:rPr>
        <w:t>The Institute for Fiscal Studies have questioned whether this has been determined by the Government’s fiscal rules and targets rather than an assessment of how best to upgrade the UK’s defence capabilities.</w:t>
      </w:r>
      <w:r w:rsidRPr="001C6CB1">
        <w:rPr>
          <w:rStyle w:val="FootnoteReference"/>
          <w:rFonts w:eastAsia="Calibri"/>
        </w:rPr>
        <w:footnoteReference w:id="6"/>
      </w:r>
    </w:p>
    <w:p w14:paraId="696F59FC" w14:textId="77777777" w:rsidR="00E77709" w:rsidRPr="00E77709" w:rsidRDefault="00E77709" w:rsidP="00E77709">
      <w:pPr>
        <w:spacing w:line="280" w:lineRule="atLeast"/>
        <w:rPr>
          <w:rFonts w:eastAsia="Calibri"/>
          <w:highlight w:val="yellow"/>
        </w:rPr>
      </w:pPr>
    </w:p>
    <w:p w14:paraId="6FDC1168" w14:textId="77777777" w:rsidR="00E77709" w:rsidRPr="001C6CB1" w:rsidRDefault="00E77709" w:rsidP="00E77709">
      <w:pPr>
        <w:spacing w:line="280" w:lineRule="atLeast"/>
        <w:jc w:val="center"/>
      </w:pPr>
      <w:r w:rsidRPr="001C6CB1">
        <w:rPr>
          <w:noProof/>
        </w:rPr>
        <w:lastRenderedPageBreak/>
        <w:drawing>
          <wp:inline distT="0" distB="0" distL="0" distR="0" wp14:anchorId="7ABF6E94" wp14:editId="7F4A2CCF">
            <wp:extent cx="5391150" cy="4357846"/>
            <wp:effectExtent l="0" t="0" r="0" b="0"/>
            <wp:docPr id="2050623139" name="Picture 2050623139" descr="A graph of a number of colum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23139" name="Picture 2050623139" descr="A graph of a number of columns&#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5391150" cy="4357846"/>
                    </a:xfrm>
                    <a:prstGeom prst="rect">
                      <a:avLst/>
                    </a:prstGeom>
                  </pic:spPr>
                </pic:pic>
              </a:graphicData>
            </a:graphic>
          </wp:inline>
        </w:drawing>
      </w:r>
    </w:p>
    <w:p w14:paraId="70ED561E" w14:textId="77777777" w:rsidR="001C6CB1" w:rsidRDefault="001C6CB1" w:rsidP="00E77709">
      <w:pPr>
        <w:spacing w:line="280" w:lineRule="atLeast"/>
        <w:rPr>
          <w:rFonts w:eastAsia="Calibri"/>
        </w:rPr>
      </w:pPr>
    </w:p>
    <w:p w14:paraId="6894B319" w14:textId="1C46F6B3" w:rsidR="00E77709" w:rsidRPr="001C6CB1" w:rsidRDefault="001C6CB1" w:rsidP="00E77709">
      <w:pPr>
        <w:spacing w:line="280" w:lineRule="atLeast"/>
        <w:rPr>
          <w:rFonts w:eastAsia="Calibri"/>
        </w:rPr>
      </w:pPr>
      <w:r w:rsidRPr="001C6CB1">
        <w:rPr>
          <w:rFonts w:eastAsia="Calibri"/>
        </w:rPr>
        <w:t>Building on the recently published Strategic Defence Review, the Spending Review states that this investment will include:</w:t>
      </w:r>
    </w:p>
    <w:p w14:paraId="7B4CD126" w14:textId="5C34F4D4" w:rsidR="001C6CB1" w:rsidRPr="001C6CB1" w:rsidRDefault="001C6CB1" w:rsidP="00AA691D">
      <w:pPr>
        <w:pStyle w:val="ListParagraph"/>
        <w:numPr>
          <w:ilvl w:val="0"/>
          <w:numId w:val="9"/>
        </w:numPr>
        <w:spacing w:line="280" w:lineRule="atLeast"/>
        <w:ind w:left="714" w:hanging="357"/>
        <w:contextualSpacing w:val="0"/>
        <w:rPr>
          <w:rFonts w:eastAsia="Calibri"/>
        </w:rPr>
      </w:pPr>
      <w:r w:rsidRPr="001C6CB1">
        <w:rPr>
          <w:rFonts w:eastAsia="Calibri"/>
        </w:rPr>
        <w:t xml:space="preserve">Nuclear: £15 billion over this Parliament for a sovereign warhead programme, supporting over 9,000 jobs in the </w:t>
      </w:r>
      <w:proofErr w:type="gramStart"/>
      <w:r w:rsidRPr="001C6CB1">
        <w:rPr>
          <w:rFonts w:eastAsia="Calibri"/>
        </w:rPr>
        <w:t>UK;</w:t>
      </w:r>
      <w:proofErr w:type="gramEnd"/>
    </w:p>
    <w:p w14:paraId="426A9137" w14:textId="42A7236E" w:rsidR="001C6CB1" w:rsidRPr="001C6CB1" w:rsidRDefault="001C6CB1" w:rsidP="00AA691D">
      <w:pPr>
        <w:pStyle w:val="ListParagraph"/>
        <w:numPr>
          <w:ilvl w:val="0"/>
          <w:numId w:val="9"/>
        </w:numPr>
        <w:spacing w:line="280" w:lineRule="atLeast"/>
        <w:ind w:left="714" w:hanging="357"/>
        <w:contextualSpacing w:val="0"/>
        <w:rPr>
          <w:rFonts w:eastAsia="Calibri"/>
        </w:rPr>
      </w:pPr>
      <w:r w:rsidRPr="001C6CB1">
        <w:rPr>
          <w:rFonts w:eastAsia="Calibri"/>
        </w:rPr>
        <w:t>“Directed energy weapons: nearly £1 billion of new funding this Parliament to deliver the first European laser-directed energy weapon in service;”</w:t>
      </w:r>
    </w:p>
    <w:p w14:paraId="1064D563" w14:textId="79ECEDD5" w:rsidR="001C6CB1" w:rsidRPr="001C6CB1" w:rsidRDefault="001C6CB1" w:rsidP="00AA691D">
      <w:pPr>
        <w:pStyle w:val="ListParagraph"/>
        <w:numPr>
          <w:ilvl w:val="0"/>
          <w:numId w:val="9"/>
        </w:numPr>
        <w:spacing w:line="280" w:lineRule="atLeast"/>
        <w:ind w:left="714" w:hanging="357"/>
        <w:contextualSpacing w:val="0"/>
        <w:rPr>
          <w:rFonts w:eastAsia="Calibri"/>
        </w:rPr>
      </w:pPr>
      <w:r w:rsidRPr="001C6CB1">
        <w:rPr>
          <w:rFonts w:eastAsia="Calibri"/>
        </w:rPr>
        <w:t>“Autonomous systems: over £4 billion in autonomous systems. This will include £2 billion of new investment this Parliament, including for land drone swarms;”</w:t>
      </w:r>
    </w:p>
    <w:p w14:paraId="565AC5E7" w14:textId="1A65FE26" w:rsidR="001C6CB1" w:rsidRPr="001C6CB1" w:rsidRDefault="001C6CB1" w:rsidP="00AA691D">
      <w:pPr>
        <w:pStyle w:val="ListParagraph"/>
        <w:numPr>
          <w:ilvl w:val="0"/>
          <w:numId w:val="9"/>
        </w:numPr>
        <w:spacing w:line="280" w:lineRule="atLeast"/>
        <w:ind w:left="714" w:hanging="357"/>
        <w:contextualSpacing w:val="0"/>
        <w:rPr>
          <w:rFonts w:eastAsia="Calibri"/>
        </w:rPr>
      </w:pPr>
      <w:r w:rsidRPr="001C6CB1">
        <w:rPr>
          <w:rFonts w:eastAsia="Calibri"/>
        </w:rPr>
        <w:t>“Munitions: £6 billion for munitions this Parliament, including £1.5 billion for an ‘always on’ pipeline and at least six new energetics and munitions factories in the UK, generating over 1,000 jobs;”</w:t>
      </w:r>
    </w:p>
    <w:p w14:paraId="42F5D0C6" w14:textId="2E7E8463" w:rsidR="001C6CB1" w:rsidRPr="001C6CB1" w:rsidRDefault="001C6CB1" w:rsidP="00AA691D">
      <w:pPr>
        <w:pStyle w:val="ListParagraph"/>
        <w:numPr>
          <w:ilvl w:val="0"/>
          <w:numId w:val="9"/>
        </w:numPr>
        <w:spacing w:line="280" w:lineRule="atLeast"/>
        <w:ind w:left="714" w:hanging="357"/>
        <w:contextualSpacing w:val="0"/>
        <w:rPr>
          <w:rFonts w:eastAsia="Calibri"/>
        </w:rPr>
      </w:pPr>
      <w:r w:rsidRPr="001C6CB1">
        <w:rPr>
          <w:rFonts w:eastAsia="Calibri"/>
        </w:rPr>
        <w:t>“Infrastructure: at least £7 billion in this Parliament for a once in a generation renewal of military accommodation, including over £1.5 billion new investment for rapid work to fix forces family housing.”</w:t>
      </w:r>
    </w:p>
    <w:p w14:paraId="32B2BABD" w14:textId="2428F2FF" w:rsidR="00E77709" w:rsidRPr="001C6CB1" w:rsidRDefault="001C6CB1" w:rsidP="00E77709">
      <w:pPr>
        <w:spacing w:line="280" w:lineRule="atLeast"/>
        <w:rPr>
          <w:rFonts w:eastAsia="Calibri"/>
        </w:rPr>
      </w:pPr>
      <w:r w:rsidRPr="001C6CB1">
        <w:rPr>
          <w:rFonts w:eastAsia="Calibri"/>
        </w:rPr>
        <w:t xml:space="preserve">The Spending Review also promises that “the upcoming </w:t>
      </w:r>
      <w:r w:rsidRPr="002A0556">
        <w:rPr>
          <w:rFonts w:eastAsia="Calibri"/>
          <w:b/>
          <w:bCs/>
        </w:rPr>
        <w:t>Defence Industrial Strategy</w:t>
      </w:r>
      <w:r w:rsidRPr="001C6CB1">
        <w:rPr>
          <w:rFonts w:eastAsia="Calibri"/>
        </w:rPr>
        <w:t xml:space="preserve"> will set out how the government will maximise the untapped growth potential of defence, as one of the eight priority sectors under the government’s modern Industrial Strategy, including capitalising on synergies between defence and other priority sectors such as advanced manufacturing and digital and technology”.</w:t>
      </w:r>
    </w:p>
    <w:p w14:paraId="68BDEACE" w14:textId="77777777" w:rsidR="001C6CB1" w:rsidRDefault="001C6CB1" w:rsidP="00E77709">
      <w:pPr>
        <w:spacing w:line="280" w:lineRule="atLeast"/>
        <w:rPr>
          <w:rFonts w:eastAsia="Calibri"/>
        </w:rPr>
      </w:pPr>
      <w:r w:rsidRPr="001C6CB1">
        <w:rPr>
          <w:rFonts w:eastAsia="Calibri"/>
        </w:rPr>
        <w:lastRenderedPageBreak/>
        <w:t>As set out above, the current budget allocation for the MoD itself is extremely tight, growing just 0.7% a year in real terms between 2025-26 and 2028-29. This is likely to be reflected in pressure on pay, terms and conditions, and headcount over the coming period.</w:t>
      </w:r>
      <w:r>
        <w:rPr>
          <w:rFonts w:eastAsia="Calibri"/>
        </w:rPr>
        <w:t xml:space="preserve"> </w:t>
      </w:r>
    </w:p>
    <w:p w14:paraId="3D54D212" w14:textId="68142AE1" w:rsidR="001C6CB1" w:rsidRDefault="001C6CB1" w:rsidP="00C67C0F">
      <w:pPr>
        <w:spacing w:line="280" w:lineRule="atLeast"/>
        <w:rPr>
          <w:rFonts w:eastAsia="Calibri"/>
        </w:rPr>
      </w:pPr>
      <w:r>
        <w:rPr>
          <w:rFonts w:eastAsia="Calibri"/>
        </w:rPr>
        <w:t>Documents accompanying the Spending Review reveal that a “</w:t>
      </w:r>
      <w:r w:rsidRPr="00467251">
        <w:rPr>
          <w:rFonts w:eastAsia="Calibri"/>
          <w:b/>
          <w:bCs/>
        </w:rPr>
        <w:t>Defence Reform and Efficiency Plan</w:t>
      </w:r>
      <w:r>
        <w:rPr>
          <w:rFonts w:eastAsia="Calibri"/>
        </w:rPr>
        <w:t>” will be published in the autumn setting out how “</w:t>
      </w:r>
      <w:r w:rsidRPr="001C6CB1">
        <w:rPr>
          <w:rFonts w:eastAsia="Calibri"/>
        </w:rPr>
        <w:t>will set out how the restructured department will reduce duplication, reform the department’s Civil Service workforce to increase productivity, realise greater efficiencies in the department’s estate, and improve procurement processes</w:t>
      </w:r>
      <w:r>
        <w:rPr>
          <w:rFonts w:eastAsia="Calibri"/>
        </w:rPr>
        <w:t>”.</w:t>
      </w:r>
      <w:r>
        <w:rPr>
          <w:rStyle w:val="FootnoteReference"/>
          <w:rFonts w:eastAsia="Calibri"/>
        </w:rPr>
        <w:footnoteReference w:id="7"/>
      </w:r>
    </w:p>
    <w:p w14:paraId="20737F0B" w14:textId="77777777" w:rsidR="00E77709" w:rsidRPr="00C67C0F" w:rsidRDefault="00E77709" w:rsidP="00C67C0F">
      <w:pPr>
        <w:spacing w:line="280" w:lineRule="atLeast"/>
        <w:rPr>
          <w:rFonts w:eastAsia="Calibri"/>
          <w:i/>
          <w:iCs/>
        </w:rPr>
      </w:pPr>
    </w:p>
    <w:p w14:paraId="4C31FA8D" w14:textId="77777777" w:rsidR="00E77709" w:rsidRPr="00C67C0F" w:rsidRDefault="00E77709" w:rsidP="00C67C0F">
      <w:pPr>
        <w:spacing w:line="280" w:lineRule="atLeast"/>
        <w:rPr>
          <w:rFonts w:eastAsia="Calibri"/>
          <w:i/>
        </w:rPr>
      </w:pPr>
      <w:r w:rsidRPr="00C67C0F">
        <w:rPr>
          <w:rFonts w:eastAsia="Calibri"/>
          <w:i/>
        </w:rPr>
        <w:t>Energy</w:t>
      </w:r>
    </w:p>
    <w:p w14:paraId="0BAF2B79" w14:textId="77777777" w:rsidR="00C67C0F" w:rsidRPr="00C67C0F" w:rsidRDefault="00C67C0F" w:rsidP="00C67C0F">
      <w:pPr>
        <w:spacing w:line="280" w:lineRule="atLeast"/>
        <w:rPr>
          <w:rFonts w:eastAsia="Calibri"/>
          <w:iCs/>
        </w:rPr>
      </w:pPr>
      <w:r w:rsidRPr="00C67C0F">
        <w:rPr>
          <w:rFonts w:eastAsia="Calibri"/>
          <w:iCs/>
        </w:rPr>
        <w:t>The Spending Review confirms “significant investment in the nuclear sector” including</w:t>
      </w:r>
    </w:p>
    <w:p w14:paraId="7E7E65A5" w14:textId="0C23E4EF" w:rsidR="00C67C0F" w:rsidRPr="00C67C0F" w:rsidRDefault="00C67C0F" w:rsidP="00AA691D">
      <w:pPr>
        <w:pStyle w:val="ListParagraph"/>
        <w:numPr>
          <w:ilvl w:val="0"/>
          <w:numId w:val="10"/>
        </w:numPr>
        <w:spacing w:line="280" w:lineRule="atLeast"/>
        <w:ind w:left="714" w:hanging="357"/>
        <w:contextualSpacing w:val="0"/>
        <w:rPr>
          <w:rFonts w:eastAsia="Calibri"/>
          <w:iCs/>
        </w:rPr>
      </w:pPr>
      <w:r w:rsidRPr="00C67C0F">
        <w:rPr>
          <w:rFonts w:eastAsia="Calibri"/>
          <w:iCs/>
        </w:rPr>
        <w:t xml:space="preserve">“£14.2 billion for Sizewell </w:t>
      </w:r>
      <w:proofErr w:type="spellStart"/>
      <w:r w:rsidRPr="00C67C0F">
        <w:rPr>
          <w:rFonts w:eastAsia="Calibri"/>
          <w:iCs/>
        </w:rPr>
        <w:t>C over</w:t>
      </w:r>
      <w:proofErr w:type="spellEnd"/>
      <w:r w:rsidRPr="00C67C0F">
        <w:rPr>
          <w:rFonts w:eastAsia="Calibri"/>
          <w:iCs/>
        </w:rPr>
        <w:t xml:space="preserve"> the SR period”</w:t>
      </w:r>
    </w:p>
    <w:p w14:paraId="09788C84" w14:textId="77777777" w:rsidR="00C67C0F" w:rsidRPr="00C67C0F" w:rsidRDefault="00C67C0F" w:rsidP="00AA691D">
      <w:pPr>
        <w:pStyle w:val="ListParagraph"/>
        <w:numPr>
          <w:ilvl w:val="0"/>
          <w:numId w:val="10"/>
        </w:numPr>
        <w:spacing w:line="280" w:lineRule="atLeast"/>
        <w:ind w:left="714" w:hanging="357"/>
        <w:contextualSpacing w:val="0"/>
        <w:rPr>
          <w:rFonts w:eastAsia="Calibri"/>
          <w:iCs/>
        </w:rPr>
      </w:pPr>
      <w:r w:rsidRPr="00C67C0F">
        <w:rPr>
          <w:rFonts w:eastAsia="Calibri"/>
          <w:iCs/>
        </w:rPr>
        <w:t>“</w:t>
      </w:r>
      <w:proofErr w:type="gramStart"/>
      <w:r w:rsidRPr="00C67C0F">
        <w:rPr>
          <w:rFonts w:eastAsia="Calibri"/>
          <w:iCs/>
        </w:rPr>
        <w:t>over</w:t>
      </w:r>
      <w:proofErr w:type="gramEnd"/>
      <w:r w:rsidRPr="00C67C0F">
        <w:rPr>
          <w:rFonts w:eastAsia="Calibri"/>
          <w:iCs/>
        </w:rPr>
        <w:t xml:space="preserve"> £2.5 billion to enable one of Europe’s first Small Modular Reactor programmes, with Rolls-Royce SMR selected as preferred bidder to partner with Great British Energy – Nuclear, subject to all relevant approvals”</w:t>
      </w:r>
    </w:p>
    <w:p w14:paraId="6970CEE4" w14:textId="75AA1DE4" w:rsidR="00C67C0F" w:rsidRPr="00C67C0F" w:rsidRDefault="00C67C0F" w:rsidP="002A0556">
      <w:pPr>
        <w:pStyle w:val="ListParagraph"/>
        <w:numPr>
          <w:ilvl w:val="0"/>
          <w:numId w:val="10"/>
        </w:numPr>
        <w:spacing w:line="280" w:lineRule="atLeast"/>
        <w:ind w:left="714" w:hanging="357"/>
        <w:contextualSpacing w:val="0"/>
        <w:rPr>
          <w:rFonts w:eastAsia="Calibri"/>
          <w:iCs/>
        </w:rPr>
      </w:pPr>
      <w:r w:rsidRPr="00C67C0F">
        <w:rPr>
          <w:rFonts w:eastAsia="Calibri"/>
          <w:iCs/>
        </w:rPr>
        <w:t>“</w:t>
      </w:r>
      <w:proofErr w:type="gramStart"/>
      <w:r w:rsidRPr="00C67C0F">
        <w:rPr>
          <w:rFonts w:eastAsia="Calibri"/>
          <w:iCs/>
        </w:rPr>
        <w:t>over</w:t>
      </w:r>
      <w:proofErr w:type="gramEnd"/>
      <w:r w:rsidRPr="00C67C0F">
        <w:rPr>
          <w:rFonts w:eastAsia="Calibri"/>
          <w:iCs/>
        </w:rPr>
        <w:t xml:space="preserve"> £2.5 billion for nuclear fusion, including support for the UK’s world-leading programme to design and build a prototype energy plant in Nottinghamshire”</w:t>
      </w:r>
    </w:p>
    <w:p w14:paraId="63E31B6D" w14:textId="678FF24C" w:rsidR="00C67C0F" w:rsidRDefault="00C67C0F" w:rsidP="002A0556">
      <w:pPr>
        <w:spacing w:line="280" w:lineRule="atLeast"/>
        <w:rPr>
          <w:rFonts w:eastAsia="Calibri"/>
          <w:iCs/>
        </w:rPr>
      </w:pPr>
      <w:r w:rsidRPr="00C67C0F">
        <w:rPr>
          <w:rFonts w:eastAsia="Calibri"/>
          <w:iCs/>
        </w:rPr>
        <w:t xml:space="preserve">In </w:t>
      </w:r>
      <w:proofErr w:type="gramStart"/>
      <w:r w:rsidRPr="00C67C0F">
        <w:rPr>
          <w:rFonts w:eastAsia="Calibri"/>
          <w:iCs/>
        </w:rPr>
        <w:t>addition</w:t>
      </w:r>
      <w:proofErr w:type="gramEnd"/>
      <w:r w:rsidRPr="00C67C0F">
        <w:rPr>
          <w:rFonts w:eastAsia="Calibri"/>
          <w:iCs/>
        </w:rPr>
        <w:t xml:space="preserve"> “Great British Energy - Nuclear has been tasked with assessing proposals within a new framework, to be published shortly, with the National Wealth Fund exploring potential investment opportunities and the Department for Energy Security and Net Zero exploring revenue support for viable projects”.</w:t>
      </w:r>
    </w:p>
    <w:p w14:paraId="403BBAF9" w14:textId="1833F5C8" w:rsidR="00A74AB1" w:rsidRDefault="00A74AB1" w:rsidP="002A0556">
      <w:pPr>
        <w:spacing w:line="280" w:lineRule="atLeast"/>
        <w:rPr>
          <w:rFonts w:eastAsia="Calibri"/>
          <w:iCs/>
        </w:rPr>
      </w:pPr>
      <w:r>
        <w:rPr>
          <w:rFonts w:eastAsia="Calibri"/>
          <w:iCs/>
        </w:rPr>
        <w:t xml:space="preserve">The Spending Review provides </w:t>
      </w:r>
      <w:r w:rsidRPr="00A74AB1">
        <w:rPr>
          <w:rFonts w:eastAsia="Calibri"/>
          <w:iCs/>
        </w:rPr>
        <w:t>£13.9 billion</w:t>
      </w:r>
      <w:r>
        <w:rPr>
          <w:rFonts w:eastAsia="Calibri"/>
          <w:iCs/>
        </w:rPr>
        <w:t xml:space="preserve"> in capital budgets to the Nuclear Decommissioning Authority</w:t>
      </w:r>
      <w:r w:rsidR="00FD0D37">
        <w:rPr>
          <w:rFonts w:eastAsia="Calibri"/>
          <w:iCs/>
        </w:rPr>
        <w:t xml:space="preserve">, which (assuming this covers the </w:t>
      </w:r>
      <w:proofErr w:type="gramStart"/>
      <w:r w:rsidR="00FD0D37">
        <w:rPr>
          <w:rFonts w:eastAsia="Calibri"/>
          <w:iCs/>
        </w:rPr>
        <w:t>four year</w:t>
      </w:r>
      <w:proofErr w:type="gramEnd"/>
      <w:r w:rsidR="00FD0D37">
        <w:rPr>
          <w:rFonts w:eastAsia="Calibri"/>
          <w:iCs/>
        </w:rPr>
        <w:t xml:space="preserve"> period covered by other capital settlements</w:t>
      </w:r>
      <w:r w:rsidR="002A0556">
        <w:rPr>
          <w:rFonts w:eastAsia="Calibri"/>
          <w:iCs/>
        </w:rPr>
        <w:t xml:space="preserve"> – though this is not entirely clear</w:t>
      </w:r>
      <w:r w:rsidR="00FD0D37">
        <w:rPr>
          <w:rFonts w:eastAsia="Calibri"/>
          <w:iCs/>
        </w:rPr>
        <w:t>) equates to around £3.</w:t>
      </w:r>
      <w:r w:rsidR="002A0556">
        <w:rPr>
          <w:rFonts w:eastAsia="Calibri"/>
          <w:iCs/>
        </w:rPr>
        <w:t>5</w:t>
      </w:r>
      <w:r w:rsidR="00FD0D37">
        <w:rPr>
          <w:rFonts w:eastAsia="Calibri"/>
          <w:iCs/>
        </w:rPr>
        <w:t>bn a year cash. This on its own would represent a modest uplift on the NDA’s total funding of £3.305bn in 2025-26,</w:t>
      </w:r>
      <w:r w:rsidR="00FD0D37">
        <w:rPr>
          <w:rStyle w:val="FootnoteReference"/>
          <w:rFonts w:eastAsia="Calibri"/>
          <w:iCs/>
        </w:rPr>
        <w:footnoteReference w:id="8"/>
      </w:r>
      <w:r w:rsidR="00FD0D37">
        <w:rPr>
          <w:rFonts w:eastAsia="Calibri"/>
          <w:iCs/>
        </w:rPr>
        <w:t xml:space="preserve"> though is some way below total funding of previous years.</w:t>
      </w:r>
      <w:r w:rsidR="002A0556">
        <w:rPr>
          <w:rStyle w:val="FootnoteReference"/>
          <w:rFonts w:eastAsia="Calibri"/>
          <w:iCs/>
        </w:rPr>
        <w:footnoteReference w:id="9"/>
      </w:r>
      <w:r w:rsidR="00FD0D37">
        <w:rPr>
          <w:rFonts w:eastAsia="Calibri"/>
          <w:iCs/>
        </w:rPr>
        <w:t xml:space="preserve"> It is not immediately clear from Spending Review documents to what extent this capital settlement will be supplemented by Resource funding.</w:t>
      </w:r>
    </w:p>
    <w:p w14:paraId="359D6CF6" w14:textId="7E314D6E" w:rsidR="00A74AB1" w:rsidRDefault="00A74AB1" w:rsidP="002A0556">
      <w:pPr>
        <w:spacing w:line="280" w:lineRule="atLeast"/>
        <w:rPr>
          <w:rFonts w:eastAsia="Calibri"/>
          <w:iCs/>
        </w:rPr>
      </w:pPr>
      <w:r>
        <w:rPr>
          <w:rFonts w:eastAsia="Calibri"/>
          <w:iCs/>
        </w:rPr>
        <w:t>Confirmation of Sizewell C, along with wider investment in nuclear energy, was a prominent element in Prospect’s submission to the Spending Review and subsequent engagement with the Treasury and Government.</w:t>
      </w:r>
    </w:p>
    <w:p w14:paraId="38856750" w14:textId="6BC7F722" w:rsidR="00C67C0F" w:rsidRDefault="00C67C0F" w:rsidP="002A0556">
      <w:pPr>
        <w:spacing w:line="280" w:lineRule="atLeast"/>
        <w:rPr>
          <w:rFonts w:eastAsia="Calibri"/>
          <w:iCs/>
        </w:rPr>
      </w:pPr>
      <w:r>
        <w:rPr>
          <w:rFonts w:eastAsia="Calibri"/>
          <w:iCs/>
        </w:rPr>
        <w:t>Other announcements include</w:t>
      </w:r>
    </w:p>
    <w:p w14:paraId="25C13876" w14:textId="340B9873" w:rsidR="00C67C0F" w:rsidRPr="00C67C0F" w:rsidRDefault="00C67C0F" w:rsidP="002A0556">
      <w:pPr>
        <w:pStyle w:val="ListParagraph"/>
        <w:numPr>
          <w:ilvl w:val="0"/>
          <w:numId w:val="11"/>
        </w:numPr>
        <w:spacing w:line="280" w:lineRule="atLeast"/>
        <w:ind w:left="714" w:hanging="357"/>
        <w:contextualSpacing w:val="0"/>
        <w:rPr>
          <w:rFonts w:eastAsia="Calibri"/>
          <w:iCs/>
        </w:rPr>
      </w:pPr>
      <w:r w:rsidRPr="00C67C0F">
        <w:rPr>
          <w:rFonts w:eastAsia="Calibri"/>
          <w:iCs/>
        </w:rPr>
        <w:t>“</w:t>
      </w:r>
      <w:proofErr w:type="gramStart"/>
      <w:r w:rsidRPr="00C67C0F">
        <w:rPr>
          <w:rFonts w:eastAsia="Calibri"/>
          <w:iCs/>
        </w:rPr>
        <w:t>confirming</w:t>
      </w:r>
      <w:proofErr w:type="gramEnd"/>
      <w:r w:rsidRPr="00C67C0F">
        <w:rPr>
          <w:rFonts w:eastAsia="Calibri"/>
          <w:iCs/>
        </w:rPr>
        <w:t xml:space="preserve"> up to £80 million over the SR period for port investment to support floating offshore wind deployment in Port Talbot, subject to final due diligence”</w:t>
      </w:r>
    </w:p>
    <w:p w14:paraId="3DA2992E" w14:textId="1F14A69B" w:rsidR="00C67C0F" w:rsidRPr="00C67C0F" w:rsidRDefault="00C67C0F" w:rsidP="002A0556">
      <w:pPr>
        <w:pStyle w:val="ListParagraph"/>
        <w:numPr>
          <w:ilvl w:val="0"/>
          <w:numId w:val="11"/>
        </w:numPr>
        <w:spacing w:line="280" w:lineRule="atLeast"/>
        <w:ind w:left="714" w:hanging="357"/>
        <w:contextualSpacing w:val="0"/>
        <w:rPr>
          <w:rFonts w:eastAsia="Calibri"/>
          <w:iCs/>
        </w:rPr>
      </w:pPr>
      <w:r w:rsidRPr="00C67C0F">
        <w:rPr>
          <w:rFonts w:eastAsia="Calibri"/>
          <w:iCs/>
        </w:rPr>
        <w:lastRenderedPageBreak/>
        <w:t>“Allocating £9.4 billion to Carbon Capture, Usage and Storage (CCUS) over the SR period. The government’s support will attract private investment and support thousands of jobs across the supply chain”</w:t>
      </w:r>
    </w:p>
    <w:p w14:paraId="4FBF5670" w14:textId="30C4E221" w:rsidR="00C67C0F" w:rsidRPr="00C67C0F" w:rsidRDefault="00C67C0F" w:rsidP="002A0556">
      <w:pPr>
        <w:spacing w:line="280" w:lineRule="atLeast"/>
        <w:rPr>
          <w:rFonts w:eastAsia="Calibri"/>
          <w:iCs/>
        </w:rPr>
      </w:pPr>
      <w:r>
        <w:rPr>
          <w:rFonts w:eastAsia="Calibri"/>
          <w:iCs/>
        </w:rPr>
        <w:t xml:space="preserve">The document confirms that the </w:t>
      </w:r>
      <w:r w:rsidRPr="009F4B6D">
        <w:rPr>
          <w:rFonts w:eastAsia="Calibri"/>
          <w:b/>
          <w:bCs/>
          <w:iCs/>
        </w:rPr>
        <w:t>Clean Energy Industries sector plan</w:t>
      </w:r>
      <w:r>
        <w:rPr>
          <w:rFonts w:eastAsia="Calibri"/>
          <w:iCs/>
        </w:rPr>
        <w:t xml:space="preserve"> will be published as part of the Industrial Strategy later in June.</w:t>
      </w:r>
    </w:p>
    <w:p w14:paraId="2C5A5A9B" w14:textId="77777777" w:rsidR="00E77709" w:rsidRPr="00E77709" w:rsidRDefault="00E77709" w:rsidP="002A0556">
      <w:pPr>
        <w:pStyle w:val="NormalWeb"/>
        <w:shd w:val="clear" w:color="auto" w:fill="FFFFFF" w:themeFill="background1"/>
        <w:spacing w:before="180" w:beforeAutospacing="0" w:after="0" w:afterAutospacing="0" w:line="280" w:lineRule="atLeast"/>
        <w:rPr>
          <w:rFonts w:ascii="Arial" w:eastAsia="Calibri" w:hAnsi="Arial" w:cs="Arial"/>
          <w:sz w:val="21"/>
          <w:szCs w:val="21"/>
          <w:highlight w:val="yellow"/>
        </w:rPr>
      </w:pPr>
    </w:p>
    <w:p w14:paraId="2152AEFF" w14:textId="77777777" w:rsidR="00E77709" w:rsidRPr="001408DF" w:rsidRDefault="00E77709" w:rsidP="002A0556">
      <w:pPr>
        <w:spacing w:line="280" w:lineRule="atLeast"/>
        <w:rPr>
          <w:rFonts w:eastAsia="Calibri"/>
          <w:i/>
        </w:rPr>
      </w:pPr>
      <w:r w:rsidRPr="001408DF">
        <w:rPr>
          <w:rFonts w:eastAsia="Calibri"/>
          <w:i/>
        </w:rPr>
        <w:t>Environment and Food</w:t>
      </w:r>
    </w:p>
    <w:p w14:paraId="543C390E" w14:textId="59FEBD05" w:rsidR="0028639D" w:rsidRPr="001408DF" w:rsidRDefault="0028639D" w:rsidP="002A0556">
      <w:pPr>
        <w:spacing w:line="280" w:lineRule="atLeast"/>
        <w:rPr>
          <w:rFonts w:eastAsia="Calibri"/>
          <w:iCs/>
        </w:rPr>
      </w:pPr>
      <w:r w:rsidRPr="001408DF">
        <w:rPr>
          <w:rFonts w:eastAsia="Calibri"/>
          <w:iCs/>
        </w:rPr>
        <w:t>As indicated above, the Defra group faces significant real terms cuts to current budgets over the Spending Review period.</w:t>
      </w:r>
    </w:p>
    <w:p w14:paraId="545EC34C" w14:textId="70B4DB27" w:rsidR="0028639D" w:rsidRPr="001408DF" w:rsidRDefault="0028639D" w:rsidP="002A0556">
      <w:pPr>
        <w:spacing w:line="280" w:lineRule="atLeast"/>
        <w:rPr>
          <w:rFonts w:eastAsia="Calibri"/>
          <w:iCs/>
        </w:rPr>
      </w:pPr>
      <w:r w:rsidRPr="001408DF">
        <w:rPr>
          <w:rFonts w:eastAsia="Calibri"/>
          <w:iCs/>
        </w:rPr>
        <w:t>Specific announcements in the documentation include:</w:t>
      </w:r>
    </w:p>
    <w:p w14:paraId="4DA8A6AF" w14:textId="0E1A0793" w:rsidR="0028639D" w:rsidRPr="001408DF" w:rsidRDefault="0028639D" w:rsidP="002A0556">
      <w:pPr>
        <w:pStyle w:val="ListParagraph"/>
        <w:numPr>
          <w:ilvl w:val="0"/>
          <w:numId w:val="12"/>
        </w:numPr>
        <w:spacing w:line="280" w:lineRule="atLeast"/>
        <w:contextualSpacing w:val="0"/>
        <w:rPr>
          <w:rFonts w:eastAsia="Calibri"/>
          <w:iCs/>
        </w:rPr>
      </w:pPr>
      <w:r w:rsidRPr="001408DF">
        <w:rPr>
          <w:rFonts w:eastAsia="Calibri"/>
          <w:iCs/>
        </w:rPr>
        <w:t>increasing support for nature-friendly farming through Environmental Land Management schemes from £800 million in 2023-24 to £2 billion by 2028-29, sustained by rapidly winding down subsidy payments that do not provide a return on investment</w:t>
      </w:r>
    </w:p>
    <w:p w14:paraId="25847B54" w14:textId="3779907C" w:rsidR="0028639D" w:rsidRPr="001408DF" w:rsidRDefault="0028639D" w:rsidP="002A0556">
      <w:pPr>
        <w:pStyle w:val="ListParagraph"/>
        <w:numPr>
          <w:ilvl w:val="0"/>
          <w:numId w:val="12"/>
        </w:numPr>
        <w:spacing w:line="280" w:lineRule="atLeast"/>
        <w:contextualSpacing w:val="0"/>
        <w:rPr>
          <w:rFonts w:eastAsia="Calibri"/>
          <w:iCs/>
        </w:rPr>
      </w:pPr>
      <w:r w:rsidRPr="001408DF">
        <w:rPr>
          <w:rFonts w:eastAsia="Calibri"/>
          <w:iCs/>
        </w:rPr>
        <w:t>£4.2 billion TDEL over three years (2026-27 to 2028-29) to build and maintain flood defences</w:t>
      </w:r>
    </w:p>
    <w:p w14:paraId="358211EC" w14:textId="0348DE8C" w:rsidR="0028639D" w:rsidRPr="001408DF" w:rsidRDefault="0028639D" w:rsidP="002A0556">
      <w:pPr>
        <w:spacing w:line="280" w:lineRule="atLeast"/>
        <w:rPr>
          <w:rFonts w:eastAsia="Calibri"/>
          <w:iCs/>
        </w:rPr>
      </w:pPr>
      <w:r w:rsidRPr="001408DF">
        <w:rPr>
          <w:rFonts w:eastAsia="Calibri"/>
          <w:iCs/>
        </w:rPr>
        <w:t xml:space="preserve">Supplementary documentation states that Defra will </w:t>
      </w:r>
      <w:proofErr w:type="spellStart"/>
      <w:r w:rsidRPr="001408DF">
        <w:rPr>
          <w:rFonts w:eastAsia="Calibri"/>
          <w:iCs/>
        </w:rPr>
        <w:t>devlier</w:t>
      </w:r>
      <w:proofErr w:type="spellEnd"/>
      <w:r w:rsidRPr="001408DF">
        <w:rPr>
          <w:rFonts w:eastAsia="Calibri"/>
          <w:iCs/>
        </w:rPr>
        <w:t xml:space="preserve"> efficiency gains of £144m per year by 2028-29 through:</w:t>
      </w:r>
    </w:p>
    <w:p w14:paraId="1FD1E8BD" w14:textId="77777777" w:rsidR="0028639D" w:rsidRPr="001408DF" w:rsidRDefault="0028639D" w:rsidP="002A0556">
      <w:pPr>
        <w:pStyle w:val="ListParagraph"/>
        <w:numPr>
          <w:ilvl w:val="0"/>
          <w:numId w:val="13"/>
        </w:numPr>
        <w:spacing w:line="280" w:lineRule="atLeast"/>
        <w:ind w:left="714" w:hanging="357"/>
        <w:contextualSpacing w:val="0"/>
        <w:rPr>
          <w:rFonts w:eastAsia="Calibri"/>
          <w:iCs/>
        </w:rPr>
      </w:pPr>
      <w:r w:rsidRPr="001408DF">
        <w:rPr>
          <w:rFonts w:eastAsia="Calibri"/>
          <w:iCs/>
        </w:rPr>
        <w:t>“</w:t>
      </w:r>
      <w:proofErr w:type="gramStart"/>
      <w:r w:rsidRPr="001408DF">
        <w:rPr>
          <w:rFonts w:eastAsia="Calibri"/>
          <w:iCs/>
        </w:rPr>
        <w:t>improving</w:t>
      </w:r>
      <w:proofErr w:type="gramEnd"/>
      <w:r w:rsidRPr="001408DF">
        <w:rPr>
          <w:rFonts w:eastAsia="Calibri"/>
          <w:iCs/>
        </w:rPr>
        <w:t xml:space="preserve"> workforce productivity in the core department” including </w:t>
      </w:r>
    </w:p>
    <w:p w14:paraId="36E544B0" w14:textId="77777777" w:rsidR="0028639D" w:rsidRPr="001408DF" w:rsidRDefault="0028639D" w:rsidP="002A0556">
      <w:pPr>
        <w:pStyle w:val="ListParagraph"/>
        <w:numPr>
          <w:ilvl w:val="1"/>
          <w:numId w:val="13"/>
        </w:numPr>
        <w:spacing w:line="280" w:lineRule="atLeast"/>
        <w:contextualSpacing w:val="0"/>
        <w:rPr>
          <w:rFonts w:eastAsia="Calibri"/>
          <w:iCs/>
        </w:rPr>
      </w:pPr>
      <w:r w:rsidRPr="001408DF">
        <w:rPr>
          <w:rFonts w:eastAsia="Calibri"/>
          <w:iCs/>
        </w:rPr>
        <w:t>estate rationalisation</w:t>
      </w:r>
    </w:p>
    <w:p w14:paraId="4951346E" w14:textId="77777777" w:rsidR="0028639D" w:rsidRPr="001408DF" w:rsidRDefault="0028639D" w:rsidP="002A0556">
      <w:pPr>
        <w:pStyle w:val="ListParagraph"/>
        <w:numPr>
          <w:ilvl w:val="1"/>
          <w:numId w:val="13"/>
        </w:numPr>
        <w:spacing w:line="280" w:lineRule="atLeast"/>
        <w:contextualSpacing w:val="0"/>
        <w:rPr>
          <w:rFonts w:eastAsia="Calibri"/>
          <w:iCs/>
        </w:rPr>
      </w:pPr>
      <w:r w:rsidRPr="001408DF">
        <w:rPr>
          <w:rFonts w:eastAsia="Calibri"/>
          <w:iCs/>
        </w:rPr>
        <w:t>“</w:t>
      </w:r>
      <w:proofErr w:type="gramStart"/>
      <w:r w:rsidRPr="001408DF">
        <w:rPr>
          <w:rFonts w:eastAsia="Calibri"/>
          <w:iCs/>
        </w:rPr>
        <w:t>streamlining</w:t>
      </w:r>
      <w:proofErr w:type="gramEnd"/>
      <w:r w:rsidRPr="001408DF">
        <w:rPr>
          <w:rFonts w:eastAsia="Calibri"/>
          <w:iCs/>
        </w:rPr>
        <w:t xml:space="preserve"> back-office functions”</w:t>
      </w:r>
    </w:p>
    <w:p w14:paraId="1120820E" w14:textId="77777777" w:rsidR="0028639D" w:rsidRPr="001408DF" w:rsidRDefault="0028639D" w:rsidP="002A0556">
      <w:pPr>
        <w:pStyle w:val="ListParagraph"/>
        <w:numPr>
          <w:ilvl w:val="1"/>
          <w:numId w:val="13"/>
        </w:numPr>
        <w:spacing w:line="280" w:lineRule="atLeast"/>
        <w:contextualSpacing w:val="0"/>
        <w:rPr>
          <w:rFonts w:eastAsia="Calibri"/>
          <w:iCs/>
        </w:rPr>
      </w:pPr>
      <w:r w:rsidRPr="001408DF">
        <w:rPr>
          <w:rFonts w:eastAsia="Calibri"/>
          <w:iCs/>
        </w:rPr>
        <w:t>decreasing the number of digital devices issued to staff</w:t>
      </w:r>
    </w:p>
    <w:p w14:paraId="44655E1C" w14:textId="77777777" w:rsidR="0028639D" w:rsidRPr="001408DF" w:rsidRDefault="0028639D" w:rsidP="002A0556">
      <w:pPr>
        <w:pStyle w:val="ListParagraph"/>
        <w:numPr>
          <w:ilvl w:val="1"/>
          <w:numId w:val="13"/>
        </w:numPr>
        <w:spacing w:line="280" w:lineRule="atLeast"/>
        <w:contextualSpacing w:val="0"/>
        <w:rPr>
          <w:rFonts w:eastAsia="Calibri"/>
          <w:iCs/>
        </w:rPr>
      </w:pPr>
      <w:r w:rsidRPr="001408DF">
        <w:rPr>
          <w:rFonts w:eastAsia="Calibri"/>
          <w:iCs/>
        </w:rPr>
        <w:t>“</w:t>
      </w:r>
      <w:proofErr w:type="gramStart"/>
      <w:r w:rsidRPr="001408DF">
        <w:rPr>
          <w:rFonts w:eastAsia="Calibri"/>
          <w:iCs/>
        </w:rPr>
        <w:t>reducing</w:t>
      </w:r>
      <w:proofErr w:type="gramEnd"/>
      <w:r w:rsidRPr="001408DF">
        <w:rPr>
          <w:rFonts w:eastAsia="Calibri"/>
          <w:iCs/>
        </w:rPr>
        <w:t xml:space="preserve"> reliance on digital contractors”</w:t>
      </w:r>
    </w:p>
    <w:p w14:paraId="6E047116" w14:textId="62D808CC" w:rsidR="0028639D" w:rsidRPr="001408DF" w:rsidRDefault="0028639D" w:rsidP="00AA691D">
      <w:pPr>
        <w:pStyle w:val="ListParagraph"/>
        <w:numPr>
          <w:ilvl w:val="1"/>
          <w:numId w:val="13"/>
        </w:numPr>
        <w:contextualSpacing w:val="0"/>
        <w:rPr>
          <w:rFonts w:eastAsia="Calibri"/>
          <w:iCs/>
        </w:rPr>
      </w:pPr>
      <w:r w:rsidRPr="001408DF">
        <w:rPr>
          <w:rFonts w:eastAsia="Calibri"/>
          <w:iCs/>
        </w:rPr>
        <w:t>“</w:t>
      </w:r>
      <w:proofErr w:type="gramStart"/>
      <w:r w:rsidRPr="001408DF">
        <w:rPr>
          <w:rFonts w:eastAsia="Calibri"/>
          <w:iCs/>
        </w:rPr>
        <w:t>headcount</w:t>
      </w:r>
      <w:proofErr w:type="gramEnd"/>
      <w:r w:rsidRPr="001408DF">
        <w:rPr>
          <w:rFonts w:eastAsia="Calibri"/>
          <w:iCs/>
        </w:rPr>
        <w:t xml:space="preserve"> reductions. The department has already reduced headcount by around 8% since July 2024 and will reduce by a further 5% during 2025-26.”</w:t>
      </w:r>
    </w:p>
    <w:p w14:paraId="404D4FC6" w14:textId="77777777" w:rsidR="0028639D" w:rsidRPr="001408DF" w:rsidRDefault="0028639D" w:rsidP="00AA691D">
      <w:pPr>
        <w:pStyle w:val="ListParagraph"/>
        <w:numPr>
          <w:ilvl w:val="0"/>
          <w:numId w:val="13"/>
        </w:numPr>
        <w:ind w:left="714" w:hanging="357"/>
        <w:contextualSpacing w:val="0"/>
        <w:rPr>
          <w:rFonts w:eastAsia="Calibri"/>
          <w:iCs/>
        </w:rPr>
      </w:pPr>
      <w:r w:rsidRPr="001408DF">
        <w:rPr>
          <w:rFonts w:eastAsia="Calibri"/>
          <w:iCs/>
        </w:rPr>
        <w:t>“</w:t>
      </w:r>
      <w:proofErr w:type="gramStart"/>
      <w:r w:rsidRPr="001408DF">
        <w:rPr>
          <w:rFonts w:eastAsia="Calibri"/>
          <w:iCs/>
        </w:rPr>
        <w:t>modernising</w:t>
      </w:r>
      <w:proofErr w:type="gramEnd"/>
      <w:r w:rsidRPr="001408DF">
        <w:rPr>
          <w:rFonts w:eastAsia="Calibri"/>
          <w:iCs/>
        </w:rPr>
        <w:t xml:space="preserve"> services delivered by ALBs” – including </w:t>
      </w:r>
    </w:p>
    <w:p w14:paraId="0B1D2728" w14:textId="77777777" w:rsidR="0028639D" w:rsidRPr="001408DF" w:rsidRDefault="0028639D" w:rsidP="00AA691D">
      <w:pPr>
        <w:pStyle w:val="ListParagraph"/>
        <w:numPr>
          <w:ilvl w:val="1"/>
          <w:numId w:val="13"/>
        </w:numPr>
        <w:contextualSpacing w:val="0"/>
        <w:rPr>
          <w:rFonts w:eastAsia="Calibri"/>
          <w:iCs/>
        </w:rPr>
      </w:pPr>
      <w:r w:rsidRPr="001408DF">
        <w:rPr>
          <w:rFonts w:eastAsia="Calibri"/>
          <w:iCs/>
        </w:rPr>
        <w:t>“</w:t>
      </w:r>
      <w:proofErr w:type="gramStart"/>
      <w:r w:rsidRPr="001408DF">
        <w:rPr>
          <w:rFonts w:eastAsia="Calibri"/>
          <w:iCs/>
        </w:rPr>
        <w:t>automating</w:t>
      </w:r>
      <w:proofErr w:type="gramEnd"/>
      <w:r w:rsidRPr="001408DF">
        <w:rPr>
          <w:rFonts w:eastAsia="Calibri"/>
          <w:iCs/>
        </w:rPr>
        <w:t xml:space="preserve"> document checks”</w:t>
      </w:r>
    </w:p>
    <w:p w14:paraId="69CF4BA4" w14:textId="77777777" w:rsidR="0028639D" w:rsidRPr="001408DF" w:rsidRDefault="0028639D" w:rsidP="00AA691D">
      <w:pPr>
        <w:pStyle w:val="ListParagraph"/>
        <w:numPr>
          <w:ilvl w:val="1"/>
          <w:numId w:val="13"/>
        </w:numPr>
        <w:contextualSpacing w:val="0"/>
        <w:rPr>
          <w:rFonts w:eastAsia="Calibri"/>
          <w:iCs/>
        </w:rPr>
      </w:pPr>
      <w:r w:rsidRPr="001408DF">
        <w:rPr>
          <w:rFonts w:eastAsia="Calibri"/>
          <w:iCs/>
        </w:rPr>
        <w:t>“</w:t>
      </w:r>
      <w:proofErr w:type="gramStart"/>
      <w:r w:rsidRPr="001408DF">
        <w:rPr>
          <w:rFonts w:eastAsia="Calibri"/>
          <w:iCs/>
        </w:rPr>
        <w:t>simplifying</w:t>
      </w:r>
      <w:proofErr w:type="gramEnd"/>
      <w:r w:rsidRPr="001408DF">
        <w:rPr>
          <w:rFonts w:eastAsia="Calibri"/>
          <w:iCs/>
        </w:rPr>
        <w:t xml:space="preserve"> policy delivery”</w:t>
      </w:r>
    </w:p>
    <w:p w14:paraId="35247519" w14:textId="41D0295A" w:rsidR="0028639D" w:rsidRPr="001408DF" w:rsidRDefault="0028639D" w:rsidP="00AA691D">
      <w:pPr>
        <w:pStyle w:val="ListParagraph"/>
        <w:numPr>
          <w:ilvl w:val="1"/>
          <w:numId w:val="13"/>
        </w:numPr>
        <w:contextualSpacing w:val="0"/>
        <w:rPr>
          <w:rFonts w:eastAsia="Calibri"/>
          <w:iCs/>
        </w:rPr>
      </w:pPr>
      <w:r w:rsidRPr="001408DF">
        <w:rPr>
          <w:rFonts w:eastAsia="Calibri"/>
          <w:iCs/>
        </w:rPr>
        <w:t>reorganising grants administration</w:t>
      </w:r>
    </w:p>
    <w:p w14:paraId="7846BD55" w14:textId="3B2C7C1A" w:rsidR="0028639D" w:rsidRPr="001408DF" w:rsidRDefault="0028639D" w:rsidP="00AA691D">
      <w:pPr>
        <w:pStyle w:val="ListParagraph"/>
        <w:numPr>
          <w:ilvl w:val="1"/>
          <w:numId w:val="13"/>
        </w:numPr>
        <w:contextualSpacing w:val="0"/>
        <w:rPr>
          <w:rFonts w:eastAsia="Calibri"/>
          <w:iCs/>
        </w:rPr>
      </w:pPr>
      <w:r w:rsidRPr="001408DF">
        <w:rPr>
          <w:rFonts w:eastAsia="Calibri"/>
          <w:iCs/>
        </w:rPr>
        <w:t>“</w:t>
      </w:r>
      <w:proofErr w:type="gramStart"/>
      <w:r w:rsidRPr="001408DF">
        <w:rPr>
          <w:rFonts w:eastAsia="Calibri"/>
          <w:iCs/>
        </w:rPr>
        <w:t>reforming</w:t>
      </w:r>
      <w:proofErr w:type="gramEnd"/>
      <w:r w:rsidRPr="001408DF">
        <w:rPr>
          <w:rFonts w:eastAsia="Calibri"/>
          <w:iCs/>
        </w:rPr>
        <w:t xml:space="preserve"> how Defra and its ALBs ensure compliance with environmental regulations – covering inspections, enforcement, and monitoring”</w:t>
      </w:r>
    </w:p>
    <w:p w14:paraId="3FF1CAD1" w14:textId="06C63F64" w:rsidR="0028639D" w:rsidRPr="001408DF" w:rsidRDefault="0028639D" w:rsidP="00AA691D">
      <w:pPr>
        <w:pStyle w:val="ListParagraph"/>
        <w:numPr>
          <w:ilvl w:val="1"/>
          <w:numId w:val="13"/>
        </w:numPr>
        <w:contextualSpacing w:val="0"/>
        <w:rPr>
          <w:rFonts w:eastAsia="Calibri"/>
          <w:iCs/>
        </w:rPr>
      </w:pPr>
      <w:r w:rsidRPr="001408DF">
        <w:rPr>
          <w:rFonts w:eastAsia="Calibri"/>
          <w:iCs/>
        </w:rPr>
        <w:t>“Transforming registration, licensing, and approvals services using AI and automation”</w:t>
      </w:r>
    </w:p>
    <w:p w14:paraId="7785A194" w14:textId="1E4B1AB4" w:rsidR="0028639D" w:rsidRPr="001408DF" w:rsidRDefault="0028639D" w:rsidP="00AA691D">
      <w:pPr>
        <w:pStyle w:val="ListParagraph"/>
        <w:numPr>
          <w:ilvl w:val="0"/>
          <w:numId w:val="13"/>
        </w:numPr>
        <w:ind w:left="714" w:hanging="357"/>
        <w:contextualSpacing w:val="0"/>
        <w:rPr>
          <w:rFonts w:eastAsia="Calibri"/>
          <w:iCs/>
        </w:rPr>
      </w:pPr>
      <w:r w:rsidRPr="001408DF">
        <w:rPr>
          <w:rFonts w:eastAsia="Calibri"/>
          <w:iCs/>
        </w:rPr>
        <w:t>“</w:t>
      </w:r>
      <w:proofErr w:type="gramStart"/>
      <w:r w:rsidRPr="001408DF">
        <w:rPr>
          <w:rFonts w:eastAsia="Calibri"/>
          <w:iCs/>
        </w:rPr>
        <w:t>improving</w:t>
      </w:r>
      <w:proofErr w:type="gramEnd"/>
      <w:r w:rsidRPr="001408DF">
        <w:rPr>
          <w:rFonts w:eastAsia="Calibri"/>
          <w:iCs/>
        </w:rPr>
        <w:t xml:space="preserve"> efficiency in ALBs</w:t>
      </w:r>
      <w:r w:rsidR="001408DF" w:rsidRPr="001408DF">
        <w:rPr>
          <w:rFonts w:eastAsia="Calibri"/>
          <w:iCs/>
        </w:rPr>
        <w:t>” – giving the example of the Environment Agency’s planned introduction of remote monitoring and flood warning automation</w:t>
      </w:r>
    </w:p>
    <w:p w14:paraId="7F22AEA4" w14:textId="77777777" w:rsidR="002A0556" w:rsidRDefault="002A0556" w:rsidP="00467251">
      <w:pPr>
        <w:spacing w:line="280" w:lineRule="atLeast"/>
        <w:rPr>
          <w:rFonts w:eastAsia="Calibri"/>
        </w:rPr>
      </w:pPr>
    </w:p>
    <w:p w14:paraId="487588C0" w14:textId="77777777" w:rsidR="009F4B6D" w:rsidRDefault="009F4B6D" w:rsidP="00467251">
      <w:pPr>
        <w:spacing w:line="280" w:lineRule="atLeast"/>
        <w:rPr>
          <w:rFonts w:eastAsia="Calibri"/>
        </w:rPr>
      </w:pPr>
    </w:p>
    <w:p w14:paraId="4621F955" w14:textId="77777777" w:rsidR="009F4B6D" w:rsidRPr="001408DF" w:rsidRDefault="009F4B6D" w:rsidP="00467251">
      <w:pPr>
        <w:spacing w:line="280" w:lineRule="atLeast"/>
        <w:rPr>
          <w:rFonts w:eastAsia="Calibri"/>
        </w:rPr>
      </w:pPr>
    </w:p>
    <w:p w14:paraId="1CE3ABC8" w14:textId="77777777" w:rsidR="00E77709" w:rsidRPr="001408DF" w:rsidRDefault="00E77709" w:rsidP="00467251">
      <w:pPr>
        <w:spacing w:line="280" w:lineRule="atLeast"/>
        <w:rPr>
          <w:rFonts w:eastAsia="Calibri"/>
        </w:rPr>
      </w:pPr>
      <w:r w:rsidRPr="001408DF">
        <w:rPr>
          <w:rFonts w:eastAsia="Calibri"/>
          <w:i/>
        </w:rPr>
        <w:lastRenderedPageBreak/>
        <w:t>Heritage</w:t>
      </w:r>
    </w:p>
    <w:p w14:paraId="7A15BBCB" w14:textId="75EA3CAE" w:rsidR="00E77709" w:rsidRPr="001408DF" w:rsidRDefault="001408DF" w:rsidP="00467251">
      <w:pPr>
        <w:spacing w:line="280" w:lineRule="atLeast"/>
        <w:rPr>
          <w:rFonts w:eastAsia="Calibri"/>
        </w:rPr>
      </w:pPr>
      <w:r w:rsidRPr="001408DF">
        <w:rPr>
          <w:rFonts w:eastAsia="Calibri"/>
        </w:rPr>
        <w:t>The Spending Review highlights DCMS investment to “safeguard and modernise much-loved cultural and heritage institutions in towns and cities”, and funding for “celebrated institutions such as the National Museums and Galleries and organisations like Arts Council England”.</w:t>
      </w:r>
    </w:p>
    <w:p w14:paraId="6CC44D9E" w14:textId="0ACE8D87" w:rsidR="001408DF" w:rsidRDefault="001408DF" w:rsidP="00467251">
      <w:pPr>
        <w:spacing w:line="280" w:lineRule="atLeast"/>
        <w:rPr>
          <w:rFonts w:eastAsia="Calibri"/>
        </w:rPr>
      </w:pPr>
      <w:r w:rsidRPr="001408DF">
        <w:rPr>
          <w:rFonts w:eastAsia="Calibri"/>
        </w:rPr>
        <w:t xml:space="preserve">Accompanying figures however show that </w:t>
      </w:r>
      <w:r w:rsidR="002A0556">
        <w:rPr>
          <w:rFonts w:eastAsia="Calibri"/>
        </w:rPr>
        <w:t xml:space="preserve">DCMS </w:t>
      </w:r>
      <w:r w:rsidRPr="001408DF">
        <w:rPr>
          <w:rFonts w:eastAsia="Calibri"/>
        </w:rPr>
        <w:t xml:space="preserve">current funding will fall by an average 1.2% a year in real terms between 2025-26 and 2028-29, and capital funding will fall by an average 2.8% </w:t>
      </w:r>
      <w:r w:rsidRPr="00467251">
        <w:rPr>
          <w:rFonts w:eastAsia="Calibri"/>
        </w:rPr>
        <w:t>between 2025-26 and 2029-30.</w:t>
      </w:r>
    </w:p>
    <w:p w14:paraId="62F3F76B" w14:textId="4467C14D" w:rsidR="00577B19" w:rsidRPr="003234FB" w:rsidRDefault="00577B19" w:rsidP="00577B19">
      <w:pPr>
        <w:spacing w:line="280" w:lineRule="atLeast"/>
        <w:rPr>
          <w:rFonts w:eastAsia="Calibri"/>
        </w:rPr>
      </w:pPr>
      <w:r>
        <w:rPr>
          <w:rFonts w:eastAsia="Calibri"/>
        </w:rPr>
        <w:t>The reduction in annual current spending, of the order of £100m in real terms, is on a similar scale to the Department’s entire “administration” spend, implying that “programme” spend via ALBs in areas such as arts and culture, heritage, libraries or sport may also be hit.</w:t>
      </w:r>
    </w:p>
    <w:p w14:paraId="19EC9701" w14:textId="77777777" w:rsidR="001408DF" w:rsidRPr="00467251" w:rsidRDefault="001408DF" w:rsidP="00467251">
      <w:pPr>
        <w:spacing w:line="280" w:lineRule="atLeast"/>
        <w:rPr>
          <w:rFonts w:eastAsia="Calibri"/>
        </w:rPr>
      </w:pPr>
      <w:r w:rsidRPr="00467251">
        <w:rPr>
          <w:rFonts w:eastAsia="Calibri"/>
        </w:rPr>
        <w:t>Supplementary documents state that “DCMS and its public bodies will deliver efficiency gains of £52m per year by 2028-29” through reforms to</w:t>
      </w:r>
    </w:p>
    <w:p w14:paraId="6080E37D" w14:textId="77777777" w:rsidR="001408DF" w:rsidRPr="00467251" w:rsidRDefault="001408DF" w:rsidP="00AA691D">
      <w:pPr>
        <w:pStyle w:val="ListParagraph"/>
        <w:numPr>
          <w:ilvl w:val="0"/>
          <w:numId w:val="14"/>
        </w:numPr>
        <w:spacing w:line="280" w:lineRule="atLeast"/>
        <w:contextualSpacing w:val="0"/>
        <w:rPr>
          <w:rFonts w:eastAsia="Calibri"/>
        </w:rPr>
      </w:pPr>
      <w:r w:rsidRPr="00467251">
        <w:rPr>
          <w:rFonts w:eastAsia="Calibri"/>
        </w:rPr>
        <w:t>“</w:t>
      </w:r>
      <w:proofErr w:type="gramStart"/>
      <w:r w:rsidRPr="00467251">
        <w:rPr>
          <w:rFonts w:eastAsia="Calibri"/>
        </w:rPr>
        <w:t>workforce</w:t>
      </w:r>
      <w:proofErr w:type="gramEnd"/>
      <w:r w:rsidRPr="00467251">
        <w:rPr>
          <w:rFonts w:eastAsia="Calibri"/>
        </w:rPr>
        <w:t xml:space="preserve"> – consolidating and restructuring staffing, reducing turnover levels, reducing reliance on contingent or contracted labour and reviewing staff grading, pay scales and locations”</w:t>
      </w:r>
    </w:p>
    <w:p w14:paraId="2D5D6D89" w14:textId="77777777" w:rsidR="001408DF" w:rsidRPr="00467251" w:rsidRDefault="001408DF" w:rsidP="00AA691D">
      <w:pPr>
        <w:pStyle w:val="ListParagraph"/>
        <w:numPr>
          <w:ilvl w:val="0"/>
          <w:numId w:val="14"/>
        </w:numPr>
        <w:spacing w:line="280" w:lineRule="atLeast"/>
        <w:contextualSpacing w:val="0"/>
        <w:rPr>
          <w:rFonts w:eastAsia="Calibri"/>
        </w:rPr>
      </w:pPr>
      <w:r w:rsidRPr="00467251">
        <w:rPr>
          <w:rFonts w:eastAsia="Calibri"/>
        </w:rPr>
        <w:t>“</w:t>
      </w:r>
      <w:proofErr w:type="gramStart"/>
      <w:r w:rsidRPr="00467251">
        <w:rPr>
          <w:rFonts w:eastAsia="Calibri"/>
        </w:rPr>
        <w:t>finance</w:t>
      </w:r>
      <w:proofErr w:type="gramEnd"/>
      <w:r w:rsidRPr="00467251">
        <w:rPr>
          <w:rFonts w:eastAsia="Calibri"/>
        </w:rPr>
        <w:t xml:space="preserve"> and grants – tighter budget management and staff productivity gains from automation and more investment in fraud prevention”</w:t>
      </w:r>
    </w:p>
    <w:p w14:paraId="3BB9DF67" w14:textId="77777777" w:rsidR="001408DF" w:rsidRPr="00467251" w:rsidRDefault="001408DF" w:rsidP="00AA691D">
      <w:pPr>
        <w:pStyle w:val="ListParagraph"/>
        <w:numPr>
          <w:ilvl w:val="0"/>
          <w:numId w:val="14"/>
        </w:numPr>
        <w:spacing w:line="280" w:lineRule="atLeast"/>
        <w:contextualSpacing w:val="0"/>
        <w:rPr>
          <w:rFonts w:eastAsia="Calibri"/>
        </w:rPr>
      </w:pPr>
      <w:r w:rsidRPr="00467251">
        <w:rPr>
          <w:rFonts w:eastAsia="Calibri"/>
        </w:rPr>
        <w:t>“</w:t>
      </w:r>
      <w:proofErr w:type="gramStart"/>
      <w:r w:rsidRPr="00467251">
        <w:rPr>
          <w:rFonts w:eastAsia="Calibri"/>
        </w:rPr>
        <w:t>digital</w:t>
      </w:r>
      <w:proofErr w:type="gramEnd"/>
      <w:r w:rsidRPr="00467251">
        <w:rPr>
          <w:rFonts w:eastAsia="Calibri"/>
        </w:rPr>
        <w:t xml:space="preserve"> – modernising applications, reducing duplicate digital solutions and devices, updating IT systems to enable more automation to reduce staff time on administrative tasks”</w:t>
      </w:r>
    </w:p>
    <w:p w14:paraId="7E845A7A" w14:textId="77777777" w:rsidR="001408DF" w:rsidRPr="00467251" w:rsidRDefault="001408DF" w:rsidP="00AA691D">
      <w:pPr>
        <w:pStyle w:val="ListParagraph"/>
        <w:numPr>
          <w:ilvl w:val="0"/>
          <w:numId w:val="14"/>
        </w:numPr>
        <w:spacing w:line="280" w:lineRule="atLeast"/>
        <w:contextualSpacing w:val="0"/>
        <w:rPr>
          <w:rFonts w:eastAsia="Calibri"/>
        </w:rPr>
      </w:pPr>
      <w:r w:rsidRPr="00467251">
        <w:rPr>
          <w:rFonts w:eastAsia="Calibri"/>
        </w:rPr>
        <w:t>“</w:t>
      </w:r>
      <w:proofErr w:type="gramStart"/>
      <w:r w:rsidRPr="00467251">
        <w:rPr>
          <w:rFonts w:eastAsia="Calibri"/>
        </w:rPr>
        <w:t>communications</w:t>
      </w:r>
      <w:proofErr w:type="gramEnd"/>
      <w:r w:rsidRPr="00467251">
        <w:rPr>
          <w:rFonts w:eastAsia="Calibri"/>
        </w:rPr>
        <w:t xml:space="preserve"> and marketing – designing user-focused services, consolidating websites, restructuring marketing teams and reducing reliance on external design contractors”</w:t>
      </w:r>
    </w:p>
    <w:p w14:paraId="7DE09CD2" w14:textId="537208BD" w:rsidR="001408DF" w:rsidRPr="00467251" w:rsidRDefault="001408DF" w:rsidP="00AA691D">
      <w:pPr>
        <w:pStyle w:val="ListParagraph"/>
        <w:numPr>
          <w:ilvl w:val="0"/>
          <w:numId w:val="14"/>
        </w:numPr>
        <w:spacing w:line="280" w:lineRule="atLeast"/>
        <w:contextualSpacing w:val="0"/>
        <w:rPr>
          <w:rFonts w:eastAsia="Calibri"/>
        </w:rPr>
      </w:pPr>
      <w:r w:rsidRPr="00467251">
        <w:rPr>
          <w:rFonts w:eastAsia="Calibri"/>
        </w:rPr>
        <w:t>“</w:t>
      </w:r>
      <w:proofErr w:type="gramStart"/>
      <w:r w:rsidRPr="00467251">
        <w:rPr>
          <w:rFonts w:eastAsia="Calibri"/>
        </w:rPr>
        <w:t>estates</w:t>
      </w:r>
      <w:proofErr w:type="gramEnd"/>
      <w:r w:rsidRPr="00467251">
        <w:rPr>
          <w:rFonts w:eastAsia="Calibri"/>
        </w:rPr>
        <w:t xml:space="preserve"> – merging back-office and storage functions into single sites, reducing office space across regional ALB sites, and leasing spare storage space.”</w:t>
      </w:r>
    </w:p>
    <w:p w14:paraId="73CEDF1B" w14:textId="25A9F4D2" w:rsidR="001408DF" w:rsidRDefault="001408DF" w:rsidP="00467251">
      <w:pPr>
        <w:spacing w:line="280" w:lineRule="atLeast"/>
        <w:rPr>
          <w:rFonts w:eastAsia="Calibri"/>
        </w:rPr>
      </w:pPr>
      <w:r w:rsidRPr="00467251">
        <w:rPr>
          <w:rFonts w:eastAsia="Calibri"/>
        </w:rPr>
        <w:t>It further states that “All of DCMS’s public bodies are encouraged 26 to maintain a productive and efficient workforce through a combination of reduction in full-time equivalent staff, staff re-grading and time savings.”</w:t>
      </w:r>
    </w:p>
    <w:p w14:paraId="0BC5A256" w14:textId="01158E16" w:rsidR="00492C1C" w:rsidRDefault="00492C1C" w:rsidP="00467251">
      <w:pPr>
        <w:spacing w:line="280" w:lineRule="atLeast"/>
        <w:rPr>
          <w:rFonts w:eastAsia="Calibri"/>
        </w:rPr>
      </w:pPr>
      <w:r>
        <w:rPr>
          <w:rFonts w:eastAsia="Calibri"/>
        </w:rPr>
        <w:t>Responding to the Review the Museums Association said</w:t>
      </w:r>
    </w:p>
    <w:p w14:paraId="052652CC" w14:textId="46A98103" w:rsidR="00492C1C" w:rsidRPr="00492C1C" w:rsidRDefault="00492C1C" w:rsidP="00492C1C">
      <w:pPr>
        <w:spacing w:line="280" w:lineRule="atLeast"/>
        <w:ind w:left="567"/>
        <w:rPr>
          <w:rFonts w:eastAsia="Calibri"/>
          <w:i/>
          <w:iCs/>
        </w:rPr>
      </w:pPr>
      <w:r w:rsidRPr="00492C1C">
        <w:rPr>
          <w:rFonts w:eastAsia="Calibri"/>
          <w:i/>
          <w:iCs/>
        </w:rPr>
        <w:t>“</w:t>
      </w:r>
      <w:r w:rsidRPr="00492C1C">
        <w:rPr>
          <w:rFonts w:eastAsia="Calibri"/>
          <w:i/>
          <w:iCs/>
        </w:rPr>
        <w:t xml:space="preserve">We await the details in terms of the settlements for national museum and ACE budgets but are concerned that at a time when museums are delivering for communities and against government </w:t>
      </w:r>
      <w:proofErr w:type="gramStart"/>
      <w:r w:rsidRPr="00492C1C">
        <w:rPr>
          <w:rFonts w:eastAsia="Calibri"/>
          <w:i/>
          <w:iCs/>
        </w:rPr>
        <w:t>agendas</w:t>
      </w:r>
      <w:proofErr w:type="gramEnd"/>
      <w:r w:rsidRPr="00492C1C">
        <w:rPr>
          <w:rFonts w:eastAsia="Calibri"/>
          <w:i/>
          <w:iCs/>
        </w:rPr>
        <w:t xml:space="preserve"> they face the prospect of more cuts and face financial uncertainty.”</w:t>
      </w:r>
      <w:r>
        <w:rPr>
          <w:rStyle w:val="FootnoteReference"/>
          <w:rFonts w:eastAsia="Calibri"/>
          <w:i/>
          <w:iCs/>
        </w:rPr>
        <w:footnoteReference w:id="10"/>
      </w:r>
    </w:p>
    <w:p w14:paraId="2ED249CB" w14:textId="77777777" w:rsidR="00E77709" w:rsidRPr="00467251" w:rsidRDefault="00E77709" w:rsidP="00467251">
      <w:pPr>
        <w:spacing w:line="280" w:lineRule="atLeast"/>
        <w:rPr>
          <w:rFonts w:eastAsia="Calibri"/>
        </w:rPr>
      </w:pPr>
    </w:p>
    <w:p w14:paraId="5465ABB7" w14:textId="77777777" w:rsidR="00E77709" w:rsidRPr="00467251" w:rsidRDefault="00E77709" w:rsidP="00467251">
      <w:pPr>
        <w:spacing w:line="280" w:lineRule="atLeast"/>
        <w:rPr>
          <w:rFonts w:eastAsia="Calibri"/>
        </w:rPr>
      </w:pPr>
      <w:r w:rsidRPr="00467251">
        <w:rPr>
          <w:rFonts w:eastAsia="Calibri"/>
          <w:i/>
        </w:rPr>
        <w:t>IT and telecoms</w:t>
      </w:r>
    </w:p>
    <w:p w14:paraId="5D94C41A" w14:textId="790F12F7" w:rsidR="001408DF" w:rsidRPr="00467251" w:rsidRDefault="001408DF" w:rsidP="00467251">
      <w:pPr>
        <w:spacing w:line="280" w:lineRule="atLeast"/>
      </w:pPr>
      <w:r w:rsidRPr="00467251">
        <w:t xml:space="preserve">The SR </w:t>
      </w:r>
      <w:r w:rsidR="00492C1C">
        <w:t xml:space="preserve">confirms </w:t>
      </w:r>
      <w:r w:rsidRPr="00467251">
        <w:t>£1.9 billion over the SR period for Building Digital UK (BDUK) “to deliver the next phase in the transformation of the country’s digital infrastructure”. This includes</w:t>
      </w:r>
    </w:p>
    <w:p w14:paraId="54E3746E" w14:textId="77777777" w:rsidR="001408DF" w:rsidRPr="00467251" w:rsidRDefault="001408DF" w:rsidP="00AA691D">
      <w:pPr>
        <w:pStyle w:val="ListParagraph"/>
        <w:numPr>
          <w:ilvl w:val="0"/>
          <w:numId w:val="15"/>
        </w:numPr>
        <w:spacing w:line="280" w:lineRule="atLeast"/>
        <w:contextualSpacing w:val="0"/>
      </w:pPr>
      <w:r w:rsidRPr="00467251">
        <w:t xml:space="preserve">“Connecting more homes and businesses to gigabit-capable broadband to reach 99% of UK premises by 2032. BDUK will focus delivery in this SR period on achieving greater </w:t>
      </w:r>
      <w:r w:rsidRPr="00467251">
        <w:lastRenderedPageBreak/>
        <w:t xml:space="preserve">coverage in Scotland and Wales, and refresh delivery </w:t>
      </w:r>
      <w:proofErr w:type="gramStart"/>
      <w:r w:rsidRPr="00467251">
        <w:t>plans ahead</w:t>
      </w:r>
      <w:proofErr w:type="gramEnd"/>
      <w:r w:rsidRPr="00467251">
        <w:t xml:space="preserve"> of the Spending Review 2027”</w:t>
      </w:r>
    </w:p>
    <w:p w14:paraId="03BEFC6C" w14:textId="67ABB3D7" w:rsidR="00E77709" w:rsidRDefault="001408DF" w:rsidP="00AA691D">
      <w:pPr>
        <w:pStyle w:val="ListParagraph"/>
        <w:numPr>
          <w:ilvl w:val="0"/>
          <w:numId w:val="15"/>
        </w:numPr>
        <w:spacing w:line="280" w:lineRule="atLeast"/>
        <w:contextualSpacing w:val="0"/>
      </w:pPr>
      <w:r w:rsidRPr="00467251">
        <w:t>“Working with industry to deliver the Shared Rural Network so the most remote areas have 4G coverage”</w:t>
      </w:r>
    </w:p>
    <w:p w14:paraId="251B3457" w14:textId="7D7E1103" w:rsidR="00492C1C" w:rsidRPr="00467251" w:rsidRDefault="002A0556" w:rsidP="00492C1C">
      <w:pPr>
        <w:spacing w:line="280" w:lineRule="atLeast"/>
      </w:pPr>
      <w:r>
        <w:t>Although not highlighted by the Government t</w:t>
      </w:r>
      <w:r w:rsidR="00492C1C">
        <w:t>he promise to deliver gigabit-capable broadband to 99% of UK premises by 2032</w:t>
      </w:r>
      <w:r w:rsidR="00586CCD">
        <w:t xml:space="preserve"> appears to </w:t>
      </w:r>
      <w:r w:rsidR="00492C1C">
        <w:t xml:space="preserve">reflect </w:t>
      </w:r>
      <w:proofErr w:type="gramStart"/>
      <w:r w:rsidR="00492C1C">
        <w:t>an</w:t>
      </w:r>
      <w:proofErr w:type="gramEnd"/>
      <w:r w:rsidR="00492C1C">
        <w:t xml:space="preserve"> </w:t>
      </w:r>
      <w:r>
        <w:t>delay to</w:t>
      </w:r>
      <w:r w:rsidR="00492C1C">
        <w:t xml:space="preserve"> the previous target deadline of 2030.</w:t>
      </w:r>
      <w:r w:rsidR="00492C1C">
        <w:rPr>
          <w:rStyle w:val="FootnoteReference"/>
        </w:rPr>
        <w:footnoteReference w:id="11"/>
      </w:r>
    </w:p>
    <w:p w14:paraId="51AB173D" w14:textId="77777777" w:rsidR="001408DF" w:rsidRPr="00467251" w:rsidRDefault="001408DF" w:rsidP="00467251">
      <w:pPr>
        <w:spacing w:line="280" w:lineRule="atLeast"/>
      </w:pPr>
    </w:p>
    <w:p w14:paraId="50E67168" w14:textId="77777777" w:rsidR="00E77709" w:rsidRPr="00467251" w:rsidRDefault="00E77709" w:rsidP="00467251">
      <w:pPr>
        <w:spacing w:line="280" w:lineRule="atLeast"/>
        <w:rPr>
          <w:rFonts w:eastAsia="Calibri"/>
          <w:i/>
        </w:rPr>
      </w:pPr>
      <w:r w:rsidRPr="00467251">
        <w:rPr>
          <w:rFonts w:eastAsia="Calibri"/>
          <w:i/>
        </w:rPr>
        <w:t>Public services</w:t>
      </w:r>
    </w:p>
    <w:p w14:paraId="0FD7CD7E" w14:textId="5D84250E" w:rsidR="00467251" w:rsidRPr="00467251" w:rsidRDefault="001408DF" w:rsidP="00467251">
      <w:pPr>
        <w:spacing w:line="280" w:lineRule="atLeast"/>
        <w:rPr>
          <w:rFonts w:eastAsia="Calibri"/>
        </w:rPr>
      </w:pPr>
      <w:r w:rsidRPr="00467251">
        <w:rPr>
          <w:rFonts w:eastAsia="Calibri"/>
        </w:rPr>
        <w:t xml:space="preserve">The Spending Review increases targets for reductions in “administration” spending to 11% in real terms by 2028-29, and 16% in real terms by 2029-30. </w:t>
      </w:r>
      <w:r w:rsidR="00A66FC8">
        <w:rPr>
          <w:rFonts w:eastAsia="Calibri"/>
        </w:rPr>
        <w:t xml:space="preserve">This change in the overall target is largely the result of a few bodies (FCDO, HMRC and “small and independent bodies”) being given a target for deeper cuts in admin spend than the 10% and 15% applied to every other department. (As the IFS have highlighted, </w:t>
      </w:r>
      <w:proofErr w:type="gramStart"/>
      <w:r w:rsidR="00A66FC8">
        <w:rPr>
          <w:rFonts w:eastAsia="Calibri"/>
        </w:rPr>
        <w:t>this targets</w:t>
      </w:r>
      <w:proofErr w:type="gramEnd"/>
      <w:r w:rsidR="00A66FC8">
        <w:rPr>
          <w:rFonts w:eastAsia="Calibri"/>
        </w:rPr>
        <w:t xml:space="preserve"> applied almost uniformly to almost all departments means that those with growing budgets will a sharper fall in the proportion of their spending allowed for “administration” as a result.</w:t>
      </w:r>
      <w:r w:rsidR="00A66FC8">
        <w:rPr>
          <w:rStyle w:val="FootnoteReference"/>
          <w:rFonts w:eastAsia="Calibri"/>
        </w:rPr>
        <w:footnoteReference w:id="12"/>
      </w:r>
      <w:r w:rsidR="00A66FC8">
        <w:rPr>
          <w:rFonts w:eastAsia="Calibri"/>
        </w:rPr>
        <w:t>)</w:t>
      </w:r>
    </w:p>
    <w:p w14:paraId="09B82B14" w14:textId="711A0FA9" w:rsidR="001408DF" w:rsidRPr="00467251" w:rsidRDefault="001408DF" w:rsidP="00467251">
      <w:pPr>
        <w:spacing w:line="280" w:lineRule="atLeast"/>
        <w:rPr>
          <w:rFonts w:eastAsia="Arial"/>
        </w:rPr>
      </w:pPr>
      <w:r w:rsidRPr="00467251">
        <w:rPr>
          <w:rFonts w:eastAsia="Calibri"/>
        </w:rPr>
        <w:t xml:space="preserve">As highlighted in previous briefings, </w:t>
      </w:r>
      <w:r w:rsidRPr="00467251">
        <w:rPr>
          <w:rFonts w:eastAsia="Arial"/>
        </w:rPr>
        <w:t>Prospect research has established that in Treasury terms, “administrative” expenditure covers a broad range of functions and activities including policy advice and “technical or scientific support” as well as HR, communications, procurement and project management.</w:t>
      </w:r>
      <w:r w:rsidRPr="00467251">
        <w:rPr>
          <w:rStyle w:val="FootnoteReference"/>
          <w:rFonts w:eastAsia="Arial"/>
        </w:rPr>
        <w:footnoteReference w:id="13"/>
      </w:r>
      <w:r w:rsidRPr="00467251">
        <w:rPr>
          <w:rFonts w:eastAsia="Arial"/>
        </w:rPr>
        <w:t xml:space="preserve"> According to the Treasury’s own documentation, administrative budgets “help to drive economy and efficiency in the running of government”.</w:t>
      </w:r>
      <w:r w:rsidRPr="00467251">
        <w:rPr>
          <w:rStyle w:val="FootnoteReference"/>
          <w:rFonts w:eastAsia="Arial"/>
        </w:rPr>
        <w:footnoteReference w:id="14"/>
      </w:r>
    </w:p>
    <w:p w14:paraId="79F2C2A8" w14:textId="77777777" w:rsidR="00467251" w:rsidRPr="00467251" w:rsidRDefault="00467251" w:rsidP="00467251">
      <w:pPr>
        <w:spacing w:line="280" w:lineRule="atLeast"/>
        <w:rPr>
          <w:rFonts w:eastAsia="Arial"/>
        </w:rPr>
      </w:pPr>
      <w:r w:rsidRPr="00467251">
        <w:rPr>
          <w:rFonts w:eastAsia="Arial"/>
        </w:rPr>
        <w:t xml:space="preserve">The Spending Review also states that the government will seek </w:t>
      </w:r>
    </w:p>
    <w:p w14:paraId="5E565DD0" w14:textId="6EB6F24D" w:rsidR="00467251" w:rsidRPr="00467251" w:rsidRDefault="00467251" w:rsidP="00467251">
      <w:pPr>
        <w:spacing w:line="280" w:lineRule="atLeast"/>
        <w:ind w:left="567"/>
        <w:rPr>
          <w:rFonts w:eastAsia="Arial"/>
        </w:rPr>
      </w:pPr>
      <w:r w:rsidRPr="00467251">
        <w:rPr>
          <w:rFonts w:eastAsia="Arial"/>
          <w:i/>
          <w:iCs/>
        </w:rPr>
        <w:t>“</w:t>
      </w:r>
      <w:proofErr w:type="gramStart"/>
      <w:r w:rsidRPr="00467251">
        <w:rPr>
          <w:rFonts w:eastAsia="Arial"/>
          <w:i/>
          <w:iCs/>
        </w:rPr>
        <w:t>to</w:t>
      </w:r>
      <w:proofErr w:type="gramEnd"/>
      <w:r w:rsidRPr="00467251">
        <w:rPr>
          <w:rFonts w:eastAsia="Arial"/>
          <w:i/>
          <w:iCs/>
        </w:rPr>
        <w:t xml:space="preserve"> build capability across the civil service and ensure it can attract, develop and retain a high-performing workforce. This will include specialist digital talent, where the government has committed to one in ten civil servants working in digital roles by 2030. The government will also publish the first ever </w:t>
      </w:r>
      <w:r w:rsidRPr="00467251">
        <w:rPr>
          <w:rFonts w:eastAsia="Arial"/>
          <w:b/>
          <w:bCs/>
          <w:i/>
          <w:iCs/>
        </w:rPr>
        <w:t>civil service strategic workforce plan later this year</w:t>
      </w:r>
      <w:r w:rsidRPr="00467251">
        <w:rPr>
          <w:rFonts w:eastAsia="Arial"/>
          <w:i/>
          <w:iCs/>
        </w:rPr>
        <w:t xml:space="preserve">, and monitor progress against this plan to ensure that departments are successful in delivering an efficient and cost-effective workforce.” </w:t>
      </w:r>
      <w:r w:rsidRPr="00467251">
        <w:rPr>
          <w:rFonts w:eastAsia="Arial"/>
        </w:rPr>
        <w:t>[emphasis added]</w:t>
      </w:r>
    </w:p>
    <w:p w14:paraId="451C540D" w14:textId="22D32608" w:rsidR="00467251" w:rsidRPr="00467251" w:rsidRDefault="00467251" w:rsidP="00467251">
      <w:pPr>
        <w:spacing w:line="280" w:lineRule="atLeast"/>
        <w:rPr>
          <w:rFonts w:eastAsia="Arial"/>
        </w:rPr>
      </w:pPr>
      <w:r w:rsidRPr="00467251">
        <w:rPr>
          <w:rFonts w:eastAsia="Arial"/>
        </w:rPr>
        <w:t>Other initiatives highlighted include:</w:t>
      </w:r>
    </w:p>
    <w:p w14:paraId="15819580" w14:textId="2F18ADB8" w:rsidR="00467251" w:rsidRPr="00467251" w:rsidRDefault="00467251" w:rsidP="00AA691D">
      <w:pPr>
        <w:pStyle w:val="ListParagraph"/>
        <w:numPr>
          <w:ilvl w:val="0"/>
          <w:numId w:val="16"/>
        </w:numPr>
        <w:spacing w:line="280" w:lineRule="atLeast"/>
        <w:ind w:left="714" w:hanging="357"/>
        <w:contextualSpacing w:val="0"/>
        <w:rPr>
          <w:rFonts w:eastAsia="Arial"/>
        </w:rPr>
      </w:pPr>
      <w:r w:rsidRPr="00467251">
        <w:rPr>
          <w:rFonts w:eastAsia="Arial"/>
        </w:rPr>
        <w:t>“</w:t>
      </w:r>
      <w:proofErr w:type="gramStart"/>
      <w:r w:rsidRPr="00467251">
        <w:rPr>
          <w:rFonts w:eastAsia="Arial"/>
        </w:rPr>
        <w:t>streamlining</w:t>
      </w:r>
      <w:proofErr w:type="gramEnd"/>
      <w:r w:rsidRPr="00467251">
        <w:rPr>
          <w:rFonts w:eastAsia="Arial"/>
        </w:rPr>
        <w:t xml:space="preserve"> recruitment and expanding the use of secondments for critical priorities”</w:t>
      </w:r>
    </w:p>
    <w:p w14:paraId="3E673734" w14:textId="6BD1AC30" w:rsidR="00467251" w:rsidRPr="00467251" w:rsidRDefault="00467251" w:rsidP="00AA691D">
      <w:pPr>
        <w:pStyle w:val="ListParagraph"/>
        <w:numPr>
          <w:ilvl w:val="0"/>
          <w:numId w:val="16"/>
        </w:numPr>
        <w:spacing w:line="280" w:lineRule="atLeast"/>
        <w:ind w:left="714" w:hanging="357"/>
        <w:contextualSpacing w:val="0"/>
        <w:rPr>
          <w:rFonts w:eastAsia="Arial"/>
        </w:rPr>
      </w:pPr>
      <w:r w:rsidRPr="00467251">
        <w:rPr>
          <w:rFonts w:eastAsia="Arial"/>
        </w:rPr>
        <w:t>“Minimum performance standards for senior civil servants”</w:t>
      </w:r>
    </w:p>
    <w:p w14:paraId="7F50D096" w14:textId="760ED15C" w:rsidR="00467251" w:rsidRPr="00467251" w:rsidRDefault="00467251" w:rsidP="00AA691D">
      <w:pPr>
        <w:pStyle w:val="ListParagraph"/>
        <w:numPr>
          <w:ilvl w:val="0"/>
          <w:numId w:val="16"/>
        </w:numPr>
        <w:spacing w:line="280" w:lineRule="atLeast"/>
        <w:ind w:left="714" w:hanging="357"/>
        <w:contextualSpacing w:val="0"/>
        <w:rPr>
          <w:rFonts w:eastAsia="Arial"/>
        </w:rPr>
      </w:pPr>
      <w:r w:rsidRPr="00467251">
        <w:rPr>
          <w:rFonts w:eastAsia="Arial"/>
        </w:rPr>
        <w:t>“£50 million from the Transformation Fund to increase workforce productivity, including to transform the model of civil service learning and development, and reduce dependency on costly external training provision”</w:t>
      </w:r>
    </w:p>
    <w:p w14:paraId="38BEF9EE" w14:textId="6D145CB3" w:rsidR="00467251" w:rsidRPr="00467251" w:rsidRDefault="00467251" w:rsidP="00AA691D">
      <w:pPr>
        <w:pStyle w:val="ListParagraph"/>
        <w:numPr>
          <w:ilvl w:val="0"/>
          <w:numId w:val="16"/>
        </w:numPr>
        <w:spacing w:line="280" w:lineRule="atLeast"/>
        <w:ind w:left="714" w:hanging="357"/>
        <w:contextualSpacing w:val="0"/>
        <w:rPr>
          <w:rFonts w:eastAsia="Arial"/>
        </w:rPr>
      </w:pPr>
      <w:r w:rsidRPr="00467251">
        <w:rPr>
          <w:rFonts w:eastAsia="Arial"/>
        </w:rPr>
        <w:lastRenderedPageBreak/>
        <w:t>Continued relocation of roles outside London – “by 2030, will reduce the number of civil servants based in London by 12,000 and have 50% of UK-based senior civil servants in regional offices across the UK”</w:t>
      </w:r>
    </w:p>
    <w:p w14:paraId="59AA5F6D" w14:textId="5754A452" w:rsidR="00467251" w:rsidRPr="00467251" w:rsidRDefault="00467251" w:rsidP="00AA691D">
      <w:pPr>
        <w:pStyle w:val="ListParagraph"/>
        <w:numPr>
          <w:ilvl w:val="0"/>
          <w:numId w:val="16"/>
        </w:numPr>
        <w:spacing w:line="280" w:lineRule="atLeast"/>
        <w:ind w:left="714" w:hanging="357"/>
        <w:contextualSpacing w:val="0"/>
        <w:rPr>
          <w:rFonts w:eastAsia="Arial"/>
        </w:rPr>
      </w:pPr>
      <w:r w:rsidRPr="00467251">
        <w:rPr>
          <w:rFonts w:eastAsia="Arial"/>
        </w:rPr>
        <w:t>Investment of £244 million to complete the development of new government hubs including Darlington, Manchester First Street and York</w:t>
      </w:r>
    </w:p>
    <w:p w14:paraId="1BCA4D17" w14:textId="09E1E8EA" w:rsidR="00467251" w:rsidRPr="00467251" w:rsidRDefault="00467251" w:rsidP="00AA691D">
      <w:pPr>
        <w:pStyle w:val="ListParagraph"/>
        <w:numPr>
          <w:ilvl w:val="0"/>
          <w:numId w:val="16"/>
        </w:numPr>
        <w:spacing w:line="280" w:lineRule="atLeast"/>
        <w:ind w:left="714" w:hanging="357"/>
        <w:contextualSpacing w:val="0"/>
        <w:rPr>
          <w:rFonts w:eastAsia="Arial"/>
        </w:rPr>
      </w:pPr>
      <w:r w:rsidRPr="00467251">
        <w:rPr>
          <w:rFonts w:eastAsia="Arial"/>
        </w:rPr>
        <w:t>11 central London offices will be closed, including 102 Petty France and 39 Victoria Street</w:t>
      </w:r>
    </w:p>
    <w:p w14:paraId="63EEF63E" w14:textId="0C431EE8" w:rsidR="001408DF" w:rsidRPr="00467251" w:rsidRDefault="00467251" w:rsidP="00467251">
      <w:pPr>
        <w:spacing w:line="280" w:lineRule="atLeast"/>
        <w:rPr>
          <w:rFonts w:eastAsia="Arial"/>
        </w:rPr>
      </w:pPr>
      <w:r w:rsidRPr="00467251">
        <w:rPr>
          <w:rFonts w:eastAsia="Arial"/>
        </w:rPr>
        <w:t xml:space="preserve">On </w:t>
      </w:r>
      <w:r w:rsidRPr="00F508F8">
        <w:rPr>
          <w:rFonts w:eastAsia="Arial"/>
          <w:b/>
          <w:bCs/>
        </w:rPr>
        <w:t>ALB</w:t>
      </w:r>
      <w:r w:rsidRPr="00467251">
        <w:rPr>
          <w:rFonts w:eastAsia="Arial"/>
        </w:rPr>
        <w:t>’s the Spending Review states:</w:t>
      </w:r>
    </w:p>
    <w:p w14:paraId="60778990" w14:textId="77777777" w:rsidR="00467251" w:rsidRPr="00467251" w:rsidRDefault="00467251" w:rsidP="00467251">
      <w:pPr>
        <w:spacing w:line="280" w:lineRule="atLeast"/>
        <w:ind w:left="567"/>
        <w:rPr>
          <w:rFonts w:eastAsia="Arial"/>
          <w:i/>
          <w:iCs/>
        </w:rPr>
      </w:pPr>
      <w:r w:rsidRPr="00467251">
        <w:rPr>
          <w:rFonts w:eastAsia="Arial"/>
          <w:i/>
          <w:iCs/>
        </w:rPr>
        <w:t xml:space="preserve">“The government has demonstrated that it is willing to take bold decisions by announcing that NHS England will be merged into the Department of Health and Social Care (DHSC). The government is also moving quickly to merge the Valuation Office Agency into HMRC by the end of 2025-26. </w:t>
      </w:r>
    </w:p>
    <w:p w14:paraId="11701C46" w14:textId="77777777" w:rsidR="00467251" w:rsidRPr="00467251" w:rsidRDefault="00467251" w:rsidP="00467251">
      <w:pPr>
        <w:spacing w:line="280" w:lineRule="atLeast"/>
        <w:ind w:left="567"/>
        <w:rPr>
          <w:rFonts w:eastAsia="Arial"/>
          <w:i/>
          <w:iCs/>
        </w:rPr>
      </w:pPr>
      <w:r w:rsidRPr="00467251">
        <w:rPr>
          <w:rFonts w:eastAsia="Arial"/>
          <w:i/>
          <w:iCs/>
        </w:rPr>
        <w:t xml:space="preserve">“The government has commenced a review of all ALBs that will identify further opportunities for closures, mergers and consolidations. Further details on the outcomes of this review will be announced in due course. </w:t>
      </w:r>
    </w:p>
    <w:p w14:paraId="19CA8C0B" w14:textId="5390E9E2" w:rsidR="00467251" w:rsidRPr="009040CB" w:rsidRDefault="00467251" w:rsidP="009040CB">
      <w:pPr>
        <w:spacing w:line="280" w:lineRule="atLeast"/>
        <w:ind w:left="567"/>
        <w:rPr>
          <w:rFonts w:eastAsia="Arial"/>
          <w:i/>
          <w:iCs/>
        </w:rPr>
      </w:pPr>
      <w:r w:rsidRPr="00467251">
        <w:rPr>
          <w:rFonts w:eastAsia="Arial"/>
          <w:i/>
          <w:iCs/>
        </w:rPr>
        <w:t xml:space="preserve">“The government is committed to streamlining the operations of ALBs through targeted efficiency measures through the </w:t>
      </w:r>
      <w:proofErr w:type="spellStart"/>
      <w:r w:rsidRPr="009040CB">
        <w:rPr>
          <w:rFonts w:eastAsia="Arial"/>
          <w:i/>
          <w:iCs/>
        </w:rPr>
        <w:t>OVfM</w:t>
      </w:r>
      <w:proofErr w:type="spellEnd"/>
      <w:r w:rsidRPr="009040CB">
        <w:rPr>
          <w:rFonts w:eastAsia="Arial"/>
          <w:i/>
          <w:iCs/>
        </w:rPr>
        <w:t xml:space="preserve"> technical efficiency process.”</w:t>
      </w:r>
    </w:p>
    <w:p w14:paraId="7E4D9A45" w14:textId="6D08CD0A" w:rsidR="001408DF" w:rsidRPr="009040CB" w:rsidRDefault="00467251" w:rsidP="009040CB">
      <w:pPr>
        <w:spacing w:line="280" w:lineRule="atLeast"/>
        <w:rPr>
          <w:rFonts w:eastAsia="Calibri"/>
        </w:rPr>
      </w:pPr>
      <w:r w:rsidRPr="009040CB">
        <w:rPr>
          <w:rFonts w:eastAsia="Calibri"/>
        </w:rPr>
        <w:t xml:space="preserve">More detail is set out on how the 3.25bn </w:t>
      </w:r>
      <w:r w:rsidRPr="009040CB">
        <w:rPr>
          <w:rFonts w:eastAsia="Calibri"/>
          <w:b/>
          <w:bCs/>
        </w:rPr>
        <w:t>Transformation Fund</w:t>
      </w:r>
      <w:r w:rsidRPr="009040CB">
        <w:rPr>
          <w:rFonts w:eastAsia="Calibri"/>
        </w:rPr>
        <w:t xml:space="preserve"> announced at the Spring Statement will be allocated. This includes</w:t>
      </w:r>
    </w:p>
    <w:p w14:paraId="23848764" w14:textId="54659960" w:rsidR="00467251" w:rsidRPr="009040CB" w:rsidRDefault="00467251" w:rsidP="009F4B6D">
      <w:pPr>
        <w:pStyle w:val="ListParagraph"/>
        <w:numPr>
          <w:ilvl w:val="0"/>
          <w:numId w:val="17"/>
        </w:numPr>
        <w:spacing w:line="280" w:lineRule="atLeast"/>
        <w:contextualSpacing w:val="0"/>
        <w:rPr>
          <w:rFonts w:eastAsia="Calibri"/>
        </w:rPr>
      </w:pPr>
      <w:r w:rsidRPr="009040CB">
        <w:rPr>
          <w:rFonts w:eastAsia="Calibri"/>
        </w:rPr>
        <w:t>£70m for civil service employee exit schemes in 2026-27, following 73m allocated for 2025-26</w:t>
      </w:r>
    </w:p>
    <w:p w14:paraId="5FF28990" w14:textId="3C7CF947" w:rsidR="00467251" w:rsidRPr="009040CB" w:rsidRDefault="00467251" w:rsidP="009F4B6D">
      <w:pPr>
        <w:pStyle w:val="ListParagraph"/>
        <w:numPr>
          <w:ilvl w:val="0"/>
          <w:numId w:val="17"/>
        </w:numPr>
        <w:spacing w:line="280" w:lineRule="atLeast"/>
        <w:contextualSpacing w:val="0"/>
        <w:rPr>
          <w:rFonts w:eastAsia="Calibri"/>
        </w:rPr>
      </w:pPr>
      <w:r w:rsidRPr="009040CB">
        <w:rPr>
          <w:rFonts w:eastAsia="Calibri"/>
        </w:rPr>
        <w:t>£25m for “Civil Service transformation” in 2026-27 and 2027-28</w:t>
      </w:r>
    </w:p>
    <w:p w14:paraId="334663C3" w14:textId="29C83973" w:rsidR="00467251" w:rsidRPr="009040CB" w:rsidRDefault="00467251" w:rsidP="009F4B6D">
      <w:pPr>
        <w:pStyle w:val="ListParagraph"/>
        <w:numPr>
          <w:ilvl w:val="0"/>
          <w:numId w:val="17"/>
        </w:numPr>
        <w:spacing w:line="280" w:lineRule="atLeast"/>
        <w:contextualSpacing w:val="0"/>
        <w:rPr>
          <w:rFonts w:eastAsia="Calibri"/>
        </w:rPr>
      </w:pPr>
      <w:r w:rsidRPr="009040CB">
        <w:rPr>
          <w:rFonts w:eastAsia="Calibri"/>
        </w:rPr>
        <w:t>£323m to be spent over three years on “support for the Digital Centre for Government and cross-cutting digital priorities”</w:t>
      </w:r>
    </w:p>
    <w:p w14:paraId="27C0BD95" w14:textId="19E420BE" w:rsidR="00E77709" w:rsidRPr="009040CB" w:rsidRDefault="009040CB" w:rsidP="009F4B6D">
      <w:pPr>
        <w:spacing w:line="280" w:lineRule="atLeast"/>
        <w:rPr>
          <w:rFonts w:eastAsia="Calibri"/>
        </w:rPr>
      </w:pPr>
      <w:r w:rsidRPr="009040CB">
        <w:rPr>
          <w:rFonts w:eastAsia="Calibri"/>
        </w:rPr>
        <w:t xml:space="preserve">On </w:t>
      </w:r>
      <w:r w:rsidRPr="009040CB">
        <w:rPr>
          <w:rFonts w:eastAsia="Calibri"/>
          <w:b/>
          <w:bCs/>
        </w:rPr>
        <w:t>public sector pay</w:t>
      </w:r>
      <w:r w:rsidRPr="009040CB">
        <w:rPr>
          <w:rFonts w:eastAsia="Calibri"/>
        </w:rPr>
        <w:t xml:space="preserve"> the Spending Review reiterates previously used language:</w:t>
      </w:r>
    </w:p>
    <w:p w14:paraId="6B8BAC41" w14:textId="3D0658EB" w:rsidR="009040CB" w:rsidRPr="009040CB" w:rsidRDefault="009040CB" w:rsidP="009F4B6D">
      <w:pPr>
        <w:spacing w:line="280" w:lineRule="atLeast"/>
        <w:ind w:left="1134"/>
        <w:rPr>
          <w:rFonts w:eastAsia="Calibri"/>
          <w:i/>
          <w:iCs/>
        </w:rPr>
      </w:pPr>
      <w:r w:rsidRPr="009040CB">
        <w:rPr>
          <w:rFonts w:eastAsia="Calibri"/>
          <w:i/>
          <w:iCs/>
        </w:rPr>
        <w:t>“Pay awards will need to be funded within the departmental settlements set out below</w:t>
      </w:r>
      <w:r w:rsidR="00001869">
        <w:rPr>
          <w:rFonts w:eastAsia="Calibri"/>
          <w:i/>
          <w:iCs/>
        </w:rPr>
        <w:t xml:space="preserve"> … </w:t>
      </w:r>
      <w:r w:rsidRPr="009040CB">
        <w:rPr>
          <w:rFonts w:eastAsia="Calibri"/>
          <w:i/>
          <w:iCs/>
        </w:rPr>
        <w:t>if the PRBs recommend pay increases above the level departments have budgeted for, departments will need to carefully consider the justification for these awards and determine whether these additional costs can be borne either through offsetting savings or through further productivity gains.”</w:t>
      </w:r>
    </w:p>
    <w:p w14:paraId="5CB3BFFC" w14:textId="6C06430B" w:rsidR="009040CB" w:rsidRDefault="005F7C6F" w:rsidP="009F4B6D">
      <w:pPr>
        <w:spacing w:line="280" w:lineRule="atLeast"/>
        <w:rPr>
          <w:rFonts w:eastAsia="Calibri"/>
        </w:rPr>
      </w:pPr>
      <w:r>
        <w:rPr>
          <w:rFonts w:eastAsia="Calibri"/>
        </w:rPr>
        <w:t>The Resolution Foundation commented that while over the long run the Government “</w:t>
      </w:r>
      <w:r w:rsidRPr="005F7C6F">
        <w:rPr>
          <w:rFonts w:eastAsia="Calibri"/>
        </w:rPr>
        <w:t>has little choice but to pay enough to attract and retain staff who have the option to work in the private sector</w:t>
      </w:r>
      <w:r>
        <w:rPr>
          <w:rFonts w:eastAsia="Calibri"/>
        </w:rPr>
        <w:t>”, on the basis of the latest labour market data and forecasts “</w:t>
      </w:r>
      <w:r w:rsidRPr="005F7C6F">
        <w:rPr>
          <w:rFonts w:eastAsia="Calibri"/>
        </w:rPr>
        <w:t>it</w:t>
      </w:r>
      <w:r>
        <w:rPr>
          <w:rFonts w:eastAsia="Calibri"/>
        </w:rPr>
        <w:t xml:space="preserve"> </w:t>
      </w:r>
      <w:r w:rsidRPr="005F7C6F">
        <w:rPr>
          <w:rFonts w:eastAsia="Calibri"/>
        </w:rPr>
        <w:t>seems unlikely that the Government</w:t>
      </w:r>
      <w:r>
        <w:rPr>
          <w:rFonts w:eastAsia="Calibri"/>
        </w:rPr>
        <w:t xml:space="preserve"> </w:t>
      </w:r>
      <w:r w:rsidRPr="005F7C6F">
        <w:rPr>
          <w:rFonts w:eastAsia="Calibri"/>
        </w:rPr>
        <w:t>will need to repeat the relatively large</w:t>
      </w:r>
      <w:r>
        <w:rPr>
          <w:rFonts w:eastAsia="Calibri"/>
        </w:rPr>
        <w:t xml:space="preserve"> </w:t>
      </w:r>
      <w:r w:rsidRPr="005F7C6F">
        <w:rPr>
          <w:rFonts w:eastAsia="Calibri"/>
        </w:rPr>
        <w:t>pay increases of the past two years</w:t>
      </w:r>
      <w:r>
        <w:rPr>
          <w:rFonts w:eastAsia="Calibri"/>
        </w:rPr>
        <w:t>”.</w:t>
      </w:r>
      <w:r>
        <w:rPr>
          <w:rStyle w:val="FootnoteReference"/>
          <w:rFonts w:eastAsia="Calibri"/>
        </w:rPr>
        <w:footnoteReference w:id="15"/>
      </w:r>
    </w:p>
    <w:p w14:paraId="60F11866" w14:textId="77777777" w:rsidR="005F7C6F" w:rsidRPr="009040CB" w:rsidRDefault="005F7C6F" w:rsidP="009F4B6D">
      <w:pPr>
        <w:spacing w:line="280" w:lineRule="atLeast"/>
        <w:rPr>
          <w:rFonts w:eastAsia="Calibri"/>
        </w:rPr>
      </w:pPr>
    </w:p>
    <w:p w14:paraId="2835BD92" w14:textId="77777777" w:rsidR="00E77709" w:rsidRPr="009040CB" w:rsidRDefault="00E77709" w:rsidP="009F4B6D">
      <w:pPr>
        <w:spacing w:line="280" w:lineRule="atLeast"/>
        <w:rPr>
          <w:rFonts w:eastAsia="Calibri"/>
          <w:i/>
        </w:rPr>
      </w:pPr>
      <w:r w:rsidRPr="009040CB">
        <w:rPr>
          <w:rFonts w:eastAsia="Calibri"/>
          <w:i/>
        </w:rPr>
        <w:t>Science</w:t>
      </w:r>
    </w:p>
    <w:p w14:paraId="3FC4F6F6" w14:textId="24CD701A" w:rsidR="00C27CF6" w:rsidRPr="004A58AA" w:rsidRDefault="00C27CF6" w:rsidP="009F4B6D">
      <w:pPr>
        <w:spacing w:line="280" w:lineRule="atLeast"/>
        <w:rPr>
          <w:rFonts w:eastAsia="Calibri"/>
          <w:iCs/>
        </w:rPr>
      </w:pPr>
      <w:r w:rsidRPr="009040CB">
        <w:rPr>
          <w:rFonts w:eastAsia="Calibri"/>
          <w:iCs/>
        </w:rPr>
        <w:t>The Spending Review states that R&amp;D has been</w:t>
      </w:r>
      <w:r w:rsidRPr="004A58AA">
        <w:rPr>
          <w:rFonts w:eastAsia="Calibri"/>
          <w:iCs/>
        </w:rPr>
        <w:t xml:space="preserve"> “prioritised to complement investments in infrastructure and contribute to the success of “growth-driving sectors”. </w:t>
      </w:r>
    </w:p>
    <w:p w14:paraId="0BF1A74D" w14:textId="2DC11B95" w:rsidR="00C27CF6" w:rsidRPr="004A58AA" w:rsidRDefault="00C27CF6" w:rsidP="009F4B6D">
      <w:pPr>
        <w:spacing w:line="280" w:lineRule="atLeast"/>
        <w:rPr>
          <w:rFonts w:eastAsia="Calibri"/>
          <w:iCs/>
        </w:rPr>
      </w:pPr>
      <w:r w:rsidRPr="004A58AA">
        <w:rPr>
          <w:rFonts w:eastAsia="Calibri"/>
          <w:iCs/>
        </w:rPr>
        <w:lastRenderedPageBreak/>
        <w:t xml:space="preserve">Total R&amp;D funding will reach £22.6bn in 2029-30, a real terms increase against the latest official inflation forecasts though </w:t>
      </w:r>
      <w:r w:rsidR="004A58AA" w:rsidRPr="004A58AA">
        <w:rPr>
          <w:rFonts w:eastAsia="Calibri"/>
          <w:iCs/>
        </w:rPr>
        <w:t xml:space="preserve">a </w:t>
      </w:r>
      <w:proofErr w:type="gramStart"/>
      <w:r w:rsidR="004A58AA" w:rsidRPr="004A58AA">
        <w:rPr>
          <w:rFonts w:eastAsia="Calibri"/>
          <w:iCs/>
        </w:rPr>
        <w:t>fairly modest</w:t>
      </w:r>
      <w:proofErr w:type="gramEnd"/>
      <w:r w:rsidR="004A58AA" w:rsidRPr="004A58AA">
        <w:rPr>
          <w:rFonts w:eastAsia="Calibri"/>
          <w:iCs/>
        </w:rPr>
        <w:t xml:space="preserve"> one compared to the increases begun in 2016 and still short of the £22bn that was at one stage promised by the last Conservative Government but subsequently postponed till after the last election.</w:t>
      </w:r>
    </w:p>
    <w:p w14:paraId="4E467507" w14:textId="77777777" w:rsidR="004A58AA" w:rsidRPr="004A58AA" w:rsidRDefault="004A58AA" w:rsidP="009F4B6D">
      <w:pPr>
        <w:spacing w:line="280" w:lineRule="atLeast"/>
        <w:rPr>
          <w:rFonts w:eastAsia="Calibri"/>
          <w:iCs/>
        </w:rPr>
      </w:pPr>
    </w:p>
    <w:p w14:paraId="26AB85B5" w14:textId="0EF140BA" w:rsidR="004A58AA" w:rsidRPr="004A58AA" w:rsidRDefault="004A58AA" w:rsidP="009F4B6D">
      <w:pPr>
        <w:spacing w:line="280" w:lineRule="atLeast"/>
        <w:rPr>
          <w:rFonts w:eastAsia="Calibri"/>
          <w:iCs/>
        </w:rPr>
      </w:pPr>
      <w:r w:rsidRPr="004A58AA">
        <w:rPr>
          <w:rFonts w:eastAsia="Calibri"/>
          <w:iCs/>
          <w:noProof/>
        </w:rPr>
        <w:drawing>
          <wp:inline distT="0" distB="0" distL="0" distR="0" wp14:anchorId="53729094" wp14:editId="0B5630D5">
            <wp:extent cx="5933122" cy="3126868"/>
            <wp:effectExtent l="0" t="0" r="0" b="0"/>
            <wp:docPr id="4185529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5837" cy="3133569"/>
                    </a:xfrm>
                    <a:prstGeom prst="rect">
                      <a:avLst/>
                    </a:prstGeom>
                    <a:noFill/>
                  </pic:spPr>
                </pic:pic>
              </a:graphicData>
            </a:graphic>
          </wp:inline>
        </w:drawing>
      </w:r>
    </w:p>
    <w:p w14:paraId="602FFF57" w14:textId="77777777" w:rsidR="00C27CF6" w:rsidRPr="004A58AA" w:rsidRDefault="00C27CF6" w:rsidP="009F4B6D">
      <w:pPr>
        <w:spacing w:line="280" w:lineRule="atLeast"/>
        <w:rPr>
          <w:rFonts w:eastAsia="Calibri"/>
          <w:i/>
        </w:rPr>
      </w:pPr>
    </w:p>
    <w:p w14:paraId="475D457A" w14:textId="535B0B2C" w:rsidR="004A58AA" w:rsidRPr="004A58AA" w:rsidRDefault="004A58AA" w:rsidP="009F4B6D">
      <w:pPr>
        <w:spacing w:line="280" w:lineRule="atLeast"/>
        <w:rPr>
          <w:rFonts w:eastAsia="Calibri"/>
          <w:iCs/>
        </w:rPr>
      </w:pPr>
      <w:r w:rsidRPr="004A58AA">
        <w:rPr>
          <w:rFonts w:eastAsia="Calibri"/>
          <w:iCs/>
        </w:rPr>
        <w:t>The Spending Review document states that this funding will include:</w:t>
      </w:r>
    </w:p>
    <w:p w14:paraId="2865E397" w14:textId="0898EDD8" w:rsidR="004A58AA" w:rsidRPr="004A58AA" w:rsidRDefault="004A58AA" w:rsidP="009F4B6D">
      <w:pPr>
        <w:pStyle w:val="ListParagraph"/>
        <w:numPr>
          <w:ilvl w:val="0"/>
          <w:numId w:val="18"/>
        </w:numPr>
        <w:spacing w:line="280" w:lineRule="atLeast"/>
        <w:contextualSpacing w:val="0"/>
        <w:rPr>
          <w:rFonts w:eastAsia="Calibri"/>
          <w:iCs/>
        </w:rPr>
      </w:pPr>
      <w:r w:rsidRPr="004A58AA">
        <w:rPr>
          <w:rFonts w:eastAsia="Calibri"/>
          <w:iCs/>
        </w:rPr>
        <w:t>£500 million for the new R&amp;D Missions Accelerator Programme</w:t>
      </w:r>
      <w:r w:rsidR="00001869">
        <w:rPr>
          <w:rFonts w:eastAsia="Calibri"/>
          <w:iCs/>
        </w:rPr>
        <w:t>, which will “</w:t>
      </w:r>
      <w:r w:rsidRPr="004A58AA">
        <w:rPr>
          <w:rFonts w:eastAsia="Calibri"/>
          <w:iCs/>
        </w:rPr>
        <w:t>leverage a further £1.5 billion of private investment into innovation challenges that support the government’s missions”</w:t>
      </w:r>
    </w:p>
    <w:p w14:paraId="14A1BD97" w14:textId="4FFAA42C" w:rsidR="004A58AA" w:rsidRPr="004A58AA" w:rsidRDefault="004A58AA" w:rsidP="009F4B6D">
      <w:pPr>
        <w:pStyle w:val="ListParagraph"/>
        <w:numPr>
          <w:ilvl w:val="0"/>
          <w:numId w:val="18"/>
        </w:numPr>
        <w:spacing w:line="280" w:lineRule="atLeast"/>
        <w:contextualSpacing w:val="0"/>
        <w:rPr>
          <w:rFonts w:eastAsia="Calibri"/>
          <w:iCs/>
        </w:rPr>
      </w:pPr>
      <w:r w:rsidRPr="004A58AA">
        <w:rPr>
          <w:rFonts w:eastAsia="Calibri"/>
          <w:iCs/>
        </w:rPr>
        <w:t xml:space="preserve">“New opportunities for top talent, including fellowship schemes which will attract the brightest scientists to the UK. The government is exploring expanding eligibility of the High Potential Individual visa, looking to double the number of qualifying institutions, whilst maintaining the focus of the route on </w:t>
      </w:r>
      <w:r w:rsidR="0028506C">
        <w:rPr>
          <w:rFonts w:eastAsia="Calibri"/>
          <w:iCs/>
        </w:rPr>
        <w:t>i</w:t>
      </w:r>
      <w:r w:rsidRPr="004A58AA">
        <w:rPr>
          <w:rFonts w:eastAsia="Calibri"/>
          <w:iCs/>
        </w:rPr>
        <w:t>ndividuals that will have the most benefit to the UK workforce, and ensuring that any necessary safeguards are in place; improving access to the Global Talent visa, and reviewing the Innovator Founder visa to support entrepreneurs”</w:t>
      </w:r>
    </w:p>
    <w:p w14:paraId="79C96213" w14:textId="43FD867B" w:rsidR="004A58AA" w:rsidRPr="004A58AA" w:rsidRDefault="004A58AA" w:rsidP="009F4B6D">
      <w:pPr>
        <w:pStyle w:val="ListParagraph"/>
        <w:numPr>
          <w:ilvl w:val="0"/>
          <w:numId w:val="18"/>
        </w:numPr>
        <w:spacing w:line="280" w:lineRule="atLeast"/>
        <w:contextualSpacing w:val="0"/>
        <w:rPr>
          <w:rFonts w:eastAsia="Calibri"/>
          <w:iCs/>
        </w:rPr>
      </w:pPr>
      <w:r w:rsidRPr="004A58AA">
        <w:rPr>
          <w:rFonts w:eastAsia="Calibri"/>
          <w:iCs/>
        </w:rPr>
        <w:t>“At least £1 billion over the SR to scale up the Advanced Research and Invention Agency (ARIA), the UK’s high-risk, high-reward research agency”</w:t>
      </w:r>
    </w:p>
    <w:p w14:paraId="3056A65F" w14:textId="77777777" w:rsidR="00001869" w:rsidRPr="00001869" w:rsidRDefault="004A58AA" w:rsidP="00126A91">
      <w:pPr>
        <w:pStyle w:val="ListParagraph"/>
        <w:numPr>
          <w:ilvl w:val="0"/>
          <w:numId w:val="18"/>
        </w:numPr>
        <w:spacing w:line="280" w:lineRule="atLeast"/>
        <w:contextualSpacing w:val="0"/>
        <w:rPr>
          <w:rFonts w:eastAsia="Calibri"/>
        </w:rPr>
      </w:pPr>
      <w:r w:rsidRPr="00001869">
        <w:rPr>
          <w:rFonts w:eastAsia="Calibri"/>
          <w:iCs/>
        </w:rPr>
        <w:t>“Up to</w:t>
      </w:r>
      <w:r w:rsidR="00001869" w:rsidRPr="00001869">
        <w:rPr>
          <w:rFonts w:eastAsia="Calibri"/>
          <w:iCs/>
        </w:rPr>
        <w:t>”</w:t>
      </w:r>
      <w:r w:rsidRPr="00001869">
        <w:rPr>
          <w:rFonts w:eastAsia="Calibri"/>
          <w:iCs/>
        </w:rPr>
        <w:t xml:space="preserve"> £750 million for a new supercomputer at Edinburgh University</w:t>
      </w:r>
    </w:p>
    <w:p w14:paraId="30624F06" w14:textId="7DADF870" w:rsidR="00E77709" w:rsidRPr="00001869" w:rsidRDefault="00492C1C" w:rsidP="00001869">
      <w:pPr>
        <w:spacing w:line="280" w:lineRule="atLeast"/>
        <w:ind w:left="360"/>
        <w:rPr>
          <w:rFonts w:eastAsia="Calibri"/>
        </w:rPr>
      </w:pPr>
      <w:r w:rsidRPr="00001869">
        <w:rPr>
          <w:rFonts w:eastAsia="Calibri"/>
        </w:rPr>
        <w:t xml:space="preserve">Responding to the announcement the Campaign for Science and Engineering </w:t>
      </w:r>
      <w:proofErr w:type="gramStart"/>
      <w:r w:rsidRPr="00001869">
        <w:rPr>
          <w:rFonts w:eastAsia="Calibri"/>
        </w:rPr>
        <w:t>said</w:t>
      </w:r>
      <w:proofErr w:type="gramEnd"/>
      <w:r w:rsidRPr="00001869">
        <w:rPr>
          <w:rFonts w:eastAsia="Calibri"/>
        </w:rPr>
        <w:t xml:space="preserve"> “</w:t>
      </w:r>
      <w:r w:rsidRPr="00001869">
        <w:rPr>
          <w:rFonts w:eastAsia="Calibri"/>
        </w:rPr>
        <w:t>The Chancellor’s speech today has brought welcome confirmation of the announcements made at the weekend that the UK R&amp;D budget is being protected in tough fiscal circumstances.</w:t>
      </w:r>
      <w:r w:rsidRPr="00001869">
        <w:rPr>
          <w:rFonts w:eastAsia="Calibri"/>
        </w:rPr>
        <w:t>”</w:t>
      </w:r>
      <w:r w:rsidRPr="00001869">
        <w:rPr>
          <w:rStyle w:val="FootnoteReference"/>
          <w:rFonts w:eastAsia="Calibri"/>
        </w:rPr>
        <w:footnoteReference w:id="16"/>
      </w:r>
    </w:p>
    <w:p w14:paraId="4CF1AABF" w14:textId="77777777" w:rsidR="00492C1C" w:rsidRDefault="00492C1C" w:rsidP="00001869">
      <w:pPr>
        <w:spacing w:line="280" w:lineRule="atLeast"/>
        <w:rPr>
          <w:rFonts w:eastAsia="Calibri"/>
        </w:rPr>
      </w:pPr>
    </w:p>
    <w:p w14:paraId="57F0F804" w14:textId="77777777" w:rsidR="009F4B6D" w:rsidRPr="00001869" w:rsidRDefault="009F4B6D" w:rsidP="00001869">
      <w:pPr>
        <w:spacing w:line="280" w:lineRule="atLeast"/>
        <w:rPr>
          <w:rFonts w:eastAsia="Calibri"/>
        </w:rPr>
      </w:pPr>
    </w:p>
    <w:p w14:paraId="467E7651" w14:textId="77777777" w:rsidR="00E77709" w:rsidRPr="00001869" w:rsidRDefault="00E77709" w:rsidP="00001869">
      <w:pPr>
        <w:spacing w:line="280" w:lineRule="atLeast"/>
        <w:rPr>
          <w:shd w:val="clear" w:color="auto" w:fill="FFFFFF"/>
        </w:rPr>
      </w:pPr>
      <w:r w:rsidRPr="00001869">
        <w:rPr>
          <w:i/>
          <w:shd w:val="clear" w:color="auto" w:fill="FFFFFF"/>
        </w:rPr>
        <w:lastRenderedPageBreak/>
        <w:t>Transport</w:t>
      </w:r>
    </w:p>
    <w:p w14:paraId="3416AABC" w14:textId="47C4FD32" w:rsidR="00E77709" w:rsidRPr="00001869" w:rsidRDefault="00E77709" w:rsidP="00001869">
      <w:pPr>
        <w:spacing w:line="280" w:lineRule="atLeast"/>
        <w:rPr>
          <w:lang w:eastAsia="en-US"/>
        </w:rPr>
      </w:pPr>
      <w:r w:rsidRPr="00001869">
        <w:t>Transport related announcements include</w:t>
      </w:r>
      <w:r w:rsidR="0044689C" w:rsidRPr="00001869">
        <w:t xml:space="preserve"> </w:t>
      </w:r>
      <w:r w:rsidR="0044689C" w:rsidRPr="00001869">
        <w:rPr>
          <w:lang w:eastAsia="en-US"/>
        </w:rPr>
        <w:t xml:space="preserve">£24 billion of capital funding between 2026-27 and 2029-30 for National Highways and local authorities to invest in “significantly improving the long-term condition of </w:t>
      </w:r>
      <w:proofErr w:type="gramStart"/>
      <w:r w:rsidR="0044689C" w:rsidRPr="00001869">
        <w:rPr>
          <w:lang w:eastAsia="en-US"/>
        </w:rPr>
        <w:t>England’s road</w:t>
      </w:r>
      <w:proofErr w:type="gramEnd"/>
      <w:r w:rsidR="0044689C" w:rsidRPr="00001869">
        <w:rPr>
          <w:lang w:eastAsia="en-US"/>
        </w:rPr>
        <w:t xml:space="preserve"> network”.</w:t>
      </w:r>
    </w:p>
    <w:p w14:paraId="64A0B7CD" w14:textId="70F2943F" w:rsidR="00E77709" w:rsidRPr="00001869" w:rsidRDefault="0044689C" w:rsidP="00001869">
      <w:pPr>
        <w:pStyle w:val="Default"/>
        <w:spacing w:before="180" w:line="280" w:lineRule="atLeast"/>
        <w:rPr>
          <w:rFonts w:ascii="Arial" w:hAnsi="Arial" w:cs="Arial"/>
          <w:sz w:val="21"/>
          <w:szCs w:val="21"/>
          <w:lang w:eastAsia="en-US"/>
        </w:rPr>
      </w:pPr>
      <w:r w:rsidRPr="00001869">
        <w:rPr>
          <w:rFonts w:ascii="Arial" w:hAnsi="Arial" w:cs="Arial"/>
          <w:sz w:val="21"/>
          <w:szCs w:val="21"/>
          <w:lang w:eastAsia="en-US"/>
        </w:rPr>
        <w:t>Alongside this, however, the Department for Transport receives one of the tightest current budget settlements of the review, and is expected to deliver “efficiency gains” of £663m per year by 2028-29, including:</w:t>
      </w:r>
    </w:p>
    <w:p w14:paraId="76B4FC2C" w14:textId="61C73F71" w:rsidR="0044689C" w:rsidRPr="00001869" w:rsidRDefault="0044689C" w:rsidP="00001869">
      <w:pPr>
        <w:pStyle w:val="Default"/>
        <w:numPr>
          <w:ilvl w:val="0"/>
          <w:numId w:val="19"/>
        </w:numPr>
        <w:spacing w:before="180" w:line="280" w:lineRule="atLeast"/>
        <w:rPr>
          <w:rFonts w:ascii="Arial" w:hAnsi="Arial" w:cs="Arial"/>
          <w:sz w:val="21"/>
          <w:szCs w:val="21"/>
          <w:lang w:eastAsia="en-US"/>
        </w:rPr>
      </w:pPr>
      <w:r w:rsidRPr="00001869">
        <w:rPr>
          <w:rFonts w:ascii="Arial" w:hAnsi="Arial" w:cs="Arial"/>
          <w:sz w:val="21"/>
          <w:szCs w:val="21"/>
          <w:lang w:eastAsia="en-US"/>
        </w:rPr>
        <w:t>A “workforce strategy” to “help it become a smaller department, which is more skilled, agile, and productive”</w:t>
      </w:r>
    </w:p>
    <w:p w14:paraId="2993EDC2" w14:textId="7A16990E" w:rsidR="0028506C" w:rsidRPr="00001869" w:rsidRDefault="0028506C" w:rsidP="00001869">
      <w:pPr>
        <w:pStyle w:val="Default"/>
        <w:numPr>
          <w:ilvl w:val="0"/>
          <w:numId w:val="19"/>
        </w:numPr>
        <w:spacing w:before="180" w:line="280" w:lineRule="atLeast"/>
        <w:rPr>
          <w:rFonts w:ascii="Arial" w:hAnsi="Arial" w:cs="Arial"/>
          <w:sz w:val="21"/>
          <w:szCs w:val="21"/>
          <w:lang w:eastAsia="en-US"/>
        </w:rPr>
      </w:pPr>
      <w:r w:rsidRPr="00001869">
        <w:rPr>
          <w:rFonts w:ascii="Arial" w:hAnsi="Arial" w:cs="Arial"/>
          <w:sz w:val="21"/>
          <w:szCs w:val="21"/>
          <w:lang w:eastAsia="en-US"/>
        </w:rPr>
        <w:t>Reform of executive agencies including digitisation and workforce restructuring at DVSA, DVLA and VCA</w:t>
      </w:r>
    </w:p>
    <w:p w14:paraId="0E820E48" w14:textId="331C6BDA" w:rsidR="0028506C" w:rsidRPr="00001869" w:rsidRDefault="0028506C" w:rsidP="00001869">
      <w:pPr>
        <w:pStyle w:val="Default"/>
        <w:spacing w:before="180" w:line="280" w:lineRule="atLeast"/>
        <w:rPr>
          <w:rFonts w:ascii="Arial" w:hAnsi="Arial" w:cs="Arial"/>
          <w:sz w:val="21"/>
          <w:szCs w:val="21"/>
          <w:lang w:eastAsia="en-US"/>
        </w:rPr>
      </w:pPr>
      <w:r w:rsidRPr="00001869">
        <w:rPr>
          <w:rFonts w:ascii="Arial" w:hAnsi="Arial" w:cs="Arial"/>
          <w:sz w:val="21"/>
          <w:szCs w:val="21"/>
          <w:lang w:eastAsia="en-US"/>
        </w:rPr>
        <w:t>Accompanying documents also highlight the fact that “Efficiencies” are “embedded” in National Highway’s five-year financial settlement for each Road Investment Strategy (RIS) and monitored by the ORR.</w:t>
      </w:r>
    </w:p>
    <w:p w14:paraId="622193A7" w14:textId="77777777" w:rsidR="00AF1451" w:rsidRPr="00001869" w:rsidRDefault="00AF1451" w:rsidP="00001869">
      <w:pPr>
        <w:pStyle w:val="Default"/>
        <w:spacing w:before="180" w:line="280" w:lineRule="atLeast"/>
        <w:rPr>
          <w:rFonts w:ascii="Arial" w:hAnsi="Arial" w:cs="Arial"/>
          <w:color w:val="auto"/>
          <w:sz w:val="21"/>
          <w:szCs w:val="21"/>
          <w:highlight w:val="yellow"/>
          <w:lang w:eastAsia="en-US"/>
        </w:rPr>
      </w:pPr>
    </w:p>
    <w:p w14:paraId="44E53242" w14:textId="294CFC21" w:rsidR="00C75FD5" w:rsidRPr="009F4B6D" w:rsidRDefault="7DFDEE00" w:rsidP="00001869">
      <w:pPr>
        <w:pStyle w:val="Heading3"/>
        <w:keepNext w:val="0"/>
        <w:spacing w:after="0" w:line="280" w:lineRule="atLeast"/>
        <w:rPr>
          <w:szCs w:val="28"/>
        </w:rPr>
      </w:pPr>
      <w:r w:rsidRPr="009F4B6D">
        <w:rPr>
          <w:szCs w:val="28"/>
        </w:rPr>
        <w:t>Prospect’s response</w:t>
      </w:r>
    </w:p>
    <w:p w14:paraId="01A67CE1" w14:textId="1C12B6B7" w:rsidR="0044689C" w:rsidRPr="00001869" w:rsidRDefault="0044689C" w:rsidP="00001869">
      <w:pPr>
        <w:spacing w:line="280" w:lineRule="atLeast"/>
        <w:rPr>
          <w:rFonts w:eastAsia="Calibri"/>
        </w:rPr>
      </w:pPr>
      <w:r w:rsidRPr="00001869">
        <w:rPr>
          <w:rFonts w:eastAsia="Calibri"/>
          <w:b/>
          <w:bCs/>
        </w:rPr>
        <w:t>Responding to the Spending Review, Mike Clancy, General Secretary of Prospect, said:</w:t>
      </w:r>
    </w:p>
    <w:p w14:paraId="6B1172A4" w14:textId="77777777" w:rsidR="0044689C" w:rsidRPr="00001869" w:rsidRDefault="0044689C" w:rsidP="00001869">
      <w:pPr>
        <w:spacing w:line="280" w:lineRule="atLeast"/>
        <w:ind w:left="567"/>
        <w:rPr>
          <w:rFonts w:eastAsia="Calibri"/>
          <w:i/>
          <w:iCs/>
        </w:rPr>
      </w:pPr>
      <w:r w:rsidRPr="00001869">
        <w:rPr>
          <w:rFonts w:eastAsia="Calibri"/>
          <w:i/>
          <w:iCs/>
        </w:rPr>
        <w:t>“This increased capital investment in areas like energy, defence, and housing is an important step change, along with maintaining R&amp;D spending, in supporting the areas of the economy that can fuel the growth of tomorrow. The government must move quickly to publish and implement an ambitious industrial strategy and make sure that the skills system gets the urgent attention it needs to make sure workers will see the benefits.</w:t>
      </w:r>
    </w:p>
    <w:p w14:paraId="1767F28C" w14:textId="77777777" w:rsidR="0044689C" w:rsidRPr="00001869" w:rsidRDefault="0044689C" w:rsidP="00001869">
      <w:pPr>
        <w:spacing w:line="280" w:lineRule="atLeast"/>
        <w:ind w:left="567"/>
        <w:rPr>
          <w:rFonts w:eastAsia="Calibri"/>
          <w:i/>
          <w:iCs/>
        </w:rPr>
      </w:pPr>
      <w:r w:rsidRPr="00001869">
        <w:rPr>
          <w:rFonts w:eastAsia="Calibri"/>
          <w:i/>
          <w:iCs/>
        </w:rPr>
        <w:t>“While this investment is welcome, the government’s real terms cuts to day-to-day spending in some unprotected departments are worrying and could have a real impact on the government’s ability to deliver on its missions.</w:t>
      </w:r>
    </w:p>
    <w:p w14:paraId="09D09258" w14:textId="77777777" w:rsidR="0044689C" w:rsidRPr="00001869" w:rsidRDefault="0044689C" w:rsidP="00001869">
      <w:pPr>
        <w:spacing w:line="280" w:lineRule="atLeast"/>
        <w:ind w:left="567"/>
        <w:rPr>
          <w:rFonts w:eastAsia="Calibri"/>
          <w:i/>
          <w:iCs/>
        </w:rPr>
      </w:pPr>
      <w:r w:rsidRPr="00001869">
        <w:rPr>
          <w:rFonts w:eastAsia="Calibri"/>
          <w:i/>
          <w:iCs/>
        </w:rPr>
        <w:t>“The government will need to articulate much better what it wants the civil service to stop doing, given many essential government agencies are already facing recruitment and retention crises, particularly for specialist digital, scientific and technical staff.</w:t>
      </w:r>
    </w:p>
    <w:p w14:paraId="1B07280F" w14:textId="3AFA827E" w:rsidR="00554EDA" w:rsidRPr="00001869" w:rsidRDefault="0044689C" w:rsidP="00001869">
      <w:pPr>
        <w:spacing w:line="280" w:lineRule="atLeast"/>
        <w:ind w:left="567"/>
        <w:rPr>
          <w:rFonts w:eastAsia="Calibri"/>
          <w:i/>
          <w:iCs/>
        </w:rPr>
      </w:pPr>
      <w:r w:rsidRPr="00001869">
        <w:rPr>
          <w:rFonts w:eastAsia="Calibri"/>
          <w:i/>
          <w:iCs/>
        </w:rPr>
        <w:t>“Only by investing in the skills it needs will it be able to achieve its objectives and undo the damage of the last 15 years.”</w:t>
      </w:r>
      <w:r w:rsidR="7DFDEE00" w:rsidRPr="00001869">
        <w:rPr>
          <w:rStyle w:val="FootnoteReference"/>
          <w:rFonts w:eastAsia="Calibri"/>
          <w:i/>
          <w:iCs/>
        </w:rPr>
        <w:footnoteReference w:id="17"/>
      </w:r>
    </w:p>
    <w:p w14:paraId="70DC93B4" w14:textId="77777777" w:rsidR="00554EDA" w:rsidRPr="0044689C" w:rsidRDefault="00554EDA" w:rsidP="00554EDA">
      <w:pPr>
        <w:spacing w:line="280" w:lineRule="atLeast"/>
        <w:rPr>
          <w:b/>
          <w:bCs/>
          <w:sz w:val="24"/>
          <w:szCs w:val="24"/>
          <w:lang w:eastAsia="en-US"/>
        </w:rPr>
      </w:pPr>
    </w:p>
    <w:p w14:paraId="1107ED7C" w14:textId="4154E4DC" w:rsidR="00AE6408" w:rsidRPr="0044689C" w:rsidRDefault="00AE6408" w:rsidP="00554EDA">
      <w:pPr>
        <w:spacing w:line="280" w:lineRule="atLeast"/>
        <w:rPr>
          <w:rFonts w:eastAsia="Calibri"/>
          <w:i/>
          <w:iCs/>
          <w:sz w:val="22"/>
          <w:szCs w:val="22"/>
          <w:highlight w:val="yellow"/>
        </w:rPr>
      </w:pPr>
      <w:r w:rsidRPr="0044689C">
        <w:rPr>
          <w:b/>
          <w:bCs/>
          <w:sz w:val="22"/>
          <w:szCs w:val="22"/>
          <w:lang w:eastAsia="en-US"/>
        </w:rPr>
        <w:t>This briefing will be updated as new information and analysis comes to light. Please direct any suggestions</w:t>
      </w:r>
      <w:r w:rsidR="00C26806" w:rsidRPr="0044689C">
        <w:rPr>
          <w:b/>
          <w:bCs/>
          <w:sz w:val="22"/>
          <w:szCs w:val="22"/>
          <w:lang w:eastAsia="en-US"/>
        </w:rPr>
        <w:t>, corrections</w:t>
      </w:r>
      <w:r w:rsidRPr="0044689C">
        <w:rPr>
          <w:b/>
          <w:bCs/>
          <w:sz w:val="22"/>
          <w:szCs w:val="22"/>
          <w:lang w:eastAsia="en-US"/>
        </w:rPr>
        <w:t xml:space="preserve"> or queries to martin.mcivor@prospect.org.uk</w:t>
      </w:r>
    </w:p>
    <w:sectPr w:rsidR="00AE6408" w:rsidRPr="0044689C" w:rsidSect="005C7169">
      <w:headerReference w:type="even" r:id="rId25"/>
      <w:headerReference w:type="default" r:id="rId26"/>
      <w:footerReference w:type="even" r:id="rId27"/>
      <w:footerReference w:type="default" r:id="rId28"/>
      <w:headerReference w:type="first" r:id="rId29"/>
      <w:footerReference w:type="first" r:id="rId30"/>
      <w:pgSz w:w="11906" w:h="16838" w:code="9"/>
      <w:pgMar w:top="1134" w:right="1134" w:bottom="1134" w:left="1701" w:header="720"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1F305" w14:textId="77777777" w:rsidR="002B79D0" w:rsidRDefault="002B79D0">
      <w:r>
        <w:separator/>
      </w:r>
    </w:p>
  </w:endnote>
  <w:endnote w:type="continuationSeparator" w:id="0">
    <w:p w14:paraId="2A1BC207" w14:textId="77777777" w:rsidR="002B79D0" w:rsidRDefault="002B79D0">
      <w:r>
        <w:continuationSeparator/>
      </w:r>
    </w:p>
  </w:endnote>
  <w:endnote w:type="continuationNotice" w:id="1">
    <w:p w14:paraId="4A740B3B" w14:textId="77777777" w:rsidR="002B79D0" w:rsidRDefault="002B79D0">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MS ??"/>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FTEL P+ Humanist 777 BT">
    <w:altName w:val="Calibri"/>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0B91B" w14:textId="77777777" w:rsidR="00296E6D" w:rsidRDefault="00296E6D">
    <w:pPr>
      <w:pStyle w:val="Footer"/>
      <w:framePr w:wrap="around" w:vAnchor="text" w:hAnchor="margin" w:xAlign="center" w:y="1"/>
    </w:pPr>
    <w:r>
      <w:fldChar w:fldCharType="begin"/>
    </w:r>
    <w:r>
      <w:instrText xml:space="preserve">PAGE  </w:instrText>
    </w:r>
    <w:r>
      <w:fldChar w:fldCharType="end"/>
    </w:r>
  </w:p>
  <w:p w14:paraId="4999F6E8" w14:textId="77777777" w:rsidR="00296E6D" w:rsidRDefault="00296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6B95E" w14:textId="77777777" w:rsidR="00296E6D" w:rsidRDefault="00296E6D">
    <w:pPr>
      <w:pStyle w:val="Footer"/>
      <w:framePr w:wrap="around" w:vAnchor="text" w:hAnchor="margin" w:xAlign="center" w:y="1"/>
    </w:pPr>
    <w:r>
      <w:fldChar w:fldCharType="begin"/>
    </w:r>
    <w:r>
      <w:instrText xml:space="preserve">PAGE  </w:instrText>
    </w:r>
    <w:r>
      <w:fldChar w:fldCharType="separate"/>
    </w:r>
    <w:r>
      <w:rPr>
        <w:noProof/>
      </w:rPr>
      <w:t>5</w:t>
    </w:r>
    <w:r>
      <w:fldChar w:fldCharType="end"/>
    </w:r>
  </w:p>
  <w:p w14:paraId="44A2001F" w14:textId="77777777" w:rsidR="00296E6D" w:rsidRDefault="00296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862B3" w14:textId="77777777" w:rsidR="00296E6D" w:rsidRPr="00FA5C2A" w:rsidRDefault="00296E6D" w:rsidP="00423589">
    <w:pPr>
      <w:pBdr>
        <w:top w:val="single" w:sz="18" w:space="5" w:color="009D65"/>
      </w:pBdr>
      <w:tabs>
        <w:tab w:val="right" w:pos="9685"/>
      </w:tabs>
      <w:spacing w:after="100"/>
      <w:jc w:val="center"/>
      <w:rPr>
        <w:color w:val="000000" w:themeColor="text1"/>
      </w:rPr>
    </w:pPr>
    <w:r w:rsidRPr="00FA5C2A">
      <w:rPr>
        <w:color w:val="000000" w:themeColor="text1"/>
      </w:rPr>
      <w:t xml:space="preserve">Make sure your colleagues are Prospect members – they can join at </w:t>
    </w:r>
    <w:hyperlink r:id="rId1" w:history="1">
      <w:r w:rsidRPr="00FA5C2A">
        <w:rPr>
          <w:rStyle w:val="Hyperlink"/>
          <w:color w:val="000000" w:themeColor="text1"/>
        </w:rPr>
        <w:t>www.prospect.org.uk/joinus</w:t>
      </w:r>
    </w:hyperlink>
  </w:p>
  <w:p w14:paraId="370F6942" w14:textId="77777777" w:rsidR="00296E6D" w:rsidRPr="00FA5C2A" w:rsidRDefault="00296E6D" w:rsidP="00FA5C2A">
    <w:pPr>
      <w:tabs>
        <w:tab w:val="right" w:pos="9685"/>
      </w:tabs>
      <w:spacing w:after="100"/>
      <w:jc w:val="center"/>
      <w:rPr>
        <w:b/>
        <w:bCs/>
        <w:iCs/>
        <w:color w:val="000000" w:themeColor="text1"/>
      </w:rPr>
    </w:pPr>
    <w:r>
      <w:rPr>
        <w:b/>
        <w:bCs/>
        <w:iCs/>
        <w:color w:val="000000" w:themeColor="text1"/>
      </w:rPr>
      <w:t>Prospect Research 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90E50" w14:textId="77777777" w:rsidR="002B79D0" w:rsidRDefault="002B79D0">
      <w:r>
        <w:separator/>
      </w:r>
    </w:p>
  </w:footnote>
  <w:footnote w:type="continuationSeparator" w:id="0">
    <w:p w14:paraId="4F259148" w14:textId="77777777" w:rsidR="002B79D0" w:rsidRDefault="002B79D0">
      <w:r>
        <w:continuationSeparator/>
      </w:r>
    </w:p>
  </w:footnote>
  <w:footnote w:type="continuationNotice" w:id="1">
    <w:p w14:paraId="05FFA75F" w14:textId="77777777" w:rsidR="002B79D0" w:rsidRDefault="002B79D0">
      <w:pPr>
        <w:spacing w:before="0"/>
      </w:pPr>
    </w:p>
  </w:footnote>
  <w:footnote w:id="2">
    <w:p w14:paraId="770E6E7E" w14:textId="79B45FA4" w:rsidR="007765BD" w:rsidRDefault="007765BD">
      <w:pPr>
        <w:pStyle w:val="FootnoteText"/>
      </w:pPr>
      <w:r>
        <w:rPr>
          <w:rStyle w:val="FootnoteReference"/>
        </w:rPr>
        <w:footnoteRef/>
      </w:r>
      <w:r>
        <w:t xml:space="preserve"> </w:t>
      </w:r>
      <w:r w:rsidRPr="007765BD">
        <w:t>https://www.gov.uk/government/publications/advanced-fuels-fund-competition-winners/advanced-fuels-fund-aff-competition-winners</w:t>
      </w:r>
    </w:p>
  </w:footnote>
  <w:footnote w:id="3">
    <w:p w14:paraId="02F73A26" w14:textId="0A9DB0B6" w:rsidR="007765BD" w:rsidRDefault="007765BD">
      <w:pPr>
        <w:pStyle w:val="FootnoteText"/>
      </w:pPr>
      <w:r>
        <w:rPr>
          <w:rStyle w:val="FootnoteReference"/>
        </w:rPr>
        <w:footnoteRef/>
      </w:r>
      <w:r>
        <w:t xml:space="preserve"> </w:t>
      </w:r>
      <w:r w:rsidRPr="007765BD">
        <w:t>https://www.gov.uk/government/news/boost-for-british-green-aviation-fuel-production-to-support-jobs-and-lift-off-emerging-industry</w:t>
      </w:r>
    </w:p>
  </w:footnote>
  <w:footnote w:id="4">
    <w:p w14:paraId="03C5AF28" w14:textId="6ADDAB2D" w:rsidR="007765BD" w:rsidRDefault="007765BD">
      <w:pPr>
        <w:pStyle w:val="FootnoteText"/>
      </w:pPr>
      <w:r>
        <w:rPr>
          <w:rStyle w:val="FootnoteReference"/>
        </w:rPr>
        <w:footnoteRef/>
      </w:r>
      <w:r>
        <w:t xml:space="preserve"> </w:t>
      </w:r>
      <w:r w:rsidRPr="007765BD">
        <w:t>https://www.sustainableaviation.co.uk/wp-content/uploads/2020/10/Sustainable-Aviation-CSR-Submission-FINAL-240920.pdf</w:t>
      </w:r>
    </w:p>
  </w:footnote>
  <w:footnote w:id="5">
    <w:p w14:paraId="24EE3E01" w14:textId="1A81D03F" w:rsidR="006010E5" w:rsidRDefault="006010E5">
      <w:pPr>
        <w:pStyle w:val="FootnoteText"/>
      </w:pPr>
      <w:r>
        <w:rPr>
          <w:rStyle w:val="FootnoteReference"/>
        </w:rPr>
        <w:footnoteRef/>
      </w:r>
      <w:r>
        <w:t xml:space="preserve"> </w:t>
      </w:r>
      <w:hyperlink r:id="rId1" w:history="1">
        <w:r w:rsidRPr="00C667A1">
          <w:rPr>
            <w:rStyle w:val="Hyperlink"/>
          </w:rPr>
          <w:t>https://www.artsprofessional.co.uk/news/spending-review-government-pledges-additional-400m-for-dcms-in-2028</w:t>
        </w:r>
      </w:hyperlink>
      <w:r>
        <w:t xml:space="preserve">; </w:t>
      </w:r>
      <w:r w:rsidRPr="006010E5">
        <w:t>https://www.theartnewspaper.com/2025/06/12/uk-department-of-culture-faces-cuts-following-government-spending-review</w:t>
      </w:r>
    </w:p>
  </w:footnote>
  <w:footnote w:id="6">
    <w:p w14:paraId="73987087" w14:textId="77777777" w:rsidR="00E77709" w:rsidRPr="00554EDA" w:rsidRDefault="00E77709" w:rsidP="00E77709">
      <w:pPr>
        <w:pStyle w:val="FootnoteText"/>
        <w:spacing w:before="240" w:after="240"/>
      </w:pPr>
      <w:r w:rsidRPr="00554EDA">
        <w:rPr>
          <w:rStyle w:val="FootnoteReference"/>
        </w:rPr>
        <w:footnoteRef/>
      </w:r>
      <w:r w:rsidRPr="00554EDA">
        <w:t xml:space="preserve"> </w:t>
      </w:r>
      <w:hyperlink r:id="rId2">
        <w:r w:rsidRPr="00554EDA">
          <w:rPr>
            <w:rStyle w:val="Hyperlink"/>
          </w:rPr>
          <w:t>https://ifs.org.uk/sites/default/files/2025-03/Public_service_spending_small_changes_big_challenges_BB.pdf</w:t>
        </w:r>
      </w:hyperlink>
    </w:p>
    <w:p w14:paraId="3A21E95F" w14:textId="77777777" w:rsidR="00E77709" w:rsidRPr="00554EDA" w:rsidRDefault="00E77709" w:rsidP="00E77709">
      <w:pPr>
        <w:pStyle w:val="FootnoteText"/>
      </w:pPr>
    </w:p>
  </w:footnote>
  <w:footnote w:id="7">
    <w:p w14:paraId="0C85A317" w14:textId="6B3B96C6" w:rsidR="001C6CB1" w:rsidRDefault="001C6CB1">
      <w:pPr>
        <w:pStyle w:val="FootnoteText"/>
      </w:pPr>
      <w:r>
        <w:rPr>
          <w:rStyle w:val="FootnoteReference"/>
        </w:rPr>
        <w:footnoteRef/>
      </w:r>
      <w:r>
        <w:t xml:space="preserve"> </w:t>
      </w:r>
      <w:r w:rsidRPr="001C6CB1">
        <w:t>https://assets.publishing.service.gov.uk/media/68492799d0ca5d7801e4e709/Efficiency_delivery_plans_-_supplementary_document_-_FINAL.pdf</w:t>
      </w:r>
    </w:p>
  </w:footnote>
  <w:footnote w:id="8">
    <w:p w14:paraId="3CC55791" w14:textId="01719868" w:rsidR="00FD0D37" w:rsidRDefault="00FD0D37">
      <w:pPr>
        <w:pStyle w:val="FootnoteText"/>
      </w:pPr>
      <w:r>
        <w:rPr>
          <w:rStyle w:val="FootnoteReference"/>
        </w:rPr>
        <w:footnoteRef/>
      </w:r>
      <w:r>
        <w:t xml:space="preserve"> </w:t>
      </w:r>
      <w:r w:rsidRPr="00FD0D37">
        <w:t>https://www.gov.uk/government/consultations/nuclear-decommissioning-authority-draft-business-plan-2025-to-2028-for-consultation/nuclear-decommissioning-authority-draft-business-plan-2025-to-2028-for-consultation</w:t>
      </w:r>
    </w:p>
  </w:footnote>
  <w:footnote w:id="9">
    <w:p w14:paraId="1C68CA95" w14:textId="5A0EBF7E" w:rsidR="002A0556" w:rsidRDefault="002A0556">
      <w:pPr>
        <w:pStyle w:val="FootnoteText"/>
      </w:pPr>
      <w:r>
        <w:rPr>
          <w:rStyle w:val="FootnoteReference"/>
        </w:rPr>
        <w:footnoteRef/>
      </w:r>
      <w:r>
        <w:t xml:space="preserve"> </w:t>
      </w:r>
      <w:r w:rsidRPr="002A0556">
        <w:t>https://assets.publishing.service.gov.uk/media/6703df05080bdf716392ef1c/ARAC_2023-24_final_for_web.pdf</w:t>
      </w:r>
    </w:p>
  </w:footnote>
  <w:footnote w:id="10">
    <w:p w14:paraId="6FC7229F" w14:textId="79A247AE" w:rsidR="00492C1C" w:rsidRDefault="00492C1C">
      <w:pPr>
        <w:pStyle w:val="FootnoteText"/>
      </w:pPr>
      <w:r>
        <w:rPr>
          <w:rStyle w:val="FootnoteReference"/>
        </w:rPr>
        <w:footnoteRef/>
      </w:r>
      <w:r>
        <w:t xml:space="preserve"> </w:t>
      </w:r>
      <w:r w:rsidRPr="00492C1C">
        <w:t>https://www.museumsassociation.org/museums-journal/news/2025/06/spending-review-reveals-cut-to-dcms-budget/</w:t>
      </w:r>
    </w:p>
  </w:footnote>
  <w:footnote w:id="11">
    <w:p w14:paraId="415F3BDE" w14:textId="5C3D8A2F" w:rsidR="00492C1C" w:rsidRDefault="00492C1C">
      <w:pPr>
        <w:pStyle w:val="FootnoteText"/>
      </w:pPr>
      <w:r>
        <w:rPr>
          <w:rStyle w:val="FootnoteReference"/>
        </w:rPr>
        <w:footnoteRef/>
      </w:r>
      <w:r>
        <w:t xml:space="preserve"> </w:t>
      </w:r>
      <w:hyperlink r:id="rId3" w:history="1">
        <w:r w:rsidR="00586CCD" w:rsidRPr="00C667A1">
          <w:rPr>
            <w:rStyle w:val="Hyperlink"/>
          </w:rPr>
          <w:t>https://questions-statements.parliament.uk/written-questions/detail/2024-10-28/11467</w:t>
        </w:r>
      </w:hyperlink>
      <w:r w:rsidR="00586CCD">
        <w:t xml:space="preserve">; </w:t>
      </w:r>
      <w:r w:rsidRPr="00492C1C">
        <w:t>https://www.ispreview.co.uk/index.php/2025/06/govs-2025-spending-review-delays-uk-gigabit-broadband-target-to-2032.html</w:t>
      </w:r>
    </w:p>
  </w:footnote>
  <w:footnote w:id="12">
    <w:p w14:paraId="09B3F85C" w14:textId="23BD3F98" w:rsidR="00A66FC8" w:rsidRDefault="00A66FC8">
      <w:pPr>
        <w:pStyle w:val="FootnoteText"/>
      </w:pPr>
      <w:r>
        <w:rPr>
          <w:rStyle w:val="FootnoteReference"/>
        </w:rPr>
        <w:footnoteRef/>
      </w:r>
      <w:r>
        <w:t xml:space="preserve"> </w:t>
      </w:r>
      <w:r w:rsidRPr="00A66FC8">
        <w:t>https://ifs.org.uk/sites/default/files/2025-06/Spending_Review_analysis_impacts_for_public_services_MW.pdf</w:t>
      </w:r>
    </w:p>
  </w:footnote>
  <w:footnote w:id="13">
    <w:p w14:paraId="702F13E3" w14:textId="77777777" w:rsidR="001408DF" w:rsidRPr="00554EDA" w:rsidRDefault="001408DF" w:rsidP="001408DF">
      <w:pPr>
        <w:pStyle w:val="FootnoteText"/>
      </w:pPr>
      <w:r w:rsidRPr="00554EDA">
        <w:rPr>
          <w:rStyle w:val="FootnoteReference"/>
        </w:rPr>
        <w:footnoteRef/>
      </w:r>
      <w:r w:rsidRPr="00554EDA">
        <w:t xml:space="preserve"> </w:t>
      </w:r>
      <w:r w:rsidRPr="00554EDA">
        <w:rPr>
          <w:rFonts w:eastAsia="Arial"/>
        </w:rPr>
        <w:t>https://assets.publishing.service.gov.uk/media/65f0a26d9812270011f61417/CBG_2024-25.pdf</w:t>
      </w:r>
    </w:p>
  </w:footnote>
  <w:footnote w:id="14">
    <w:p w14:paraId="591AD4E3" w14:textId="77777777" w:rsidR="001408DF" w:rsidRPr="00554EDA" w:rsidRDefault="001408DF" w:rsidP="001408DF">
      <w:pPr>
        <w:pStyle w:val="FootnoteText"/>
      </w:pPr>
      <w:r w:rsidRPr="00554EDA">
        <w:rPr>
          <w:rStyle w:val="FootnoteReference"/>
        </w:rPr>
        <w:footnoteRef/>
      </w:r>
      <w:r w:rsidRPr="00554EDA">
        <w:t xml:space="preserve"> </w:t>
      </w:r>
      <w:r w:rsidRPr="00554EDA">
        <w:rPr>
          <w:rFonts w:eastAsia="Arial"/>
        </w:rPr>
        <w:t>https://assets.publishing.service.gov.uk/media/66a8dd93ab418ab055592fb9/E03149684_PESA_2024_Web_Accessible.pdf</w:t>
      </w:r>
    </w:p>
  </w:footnote>
  <w:footnote w:id="15">
    <w:p w14:paraId="337B5687" w14:textId="7612389D" w:rsidR="005F7C6F" w:rsidRDefault="005F7C6F">
      <w:pPr>
        <w:pStyle w:val="FootnoteText"/>
      </w:pPr>
      <w:r>
        <w:rPr>
          <w:rStyle w:val="FootnoteReference"/>
        </w:rPr>
        <w:footnoteRef/>
      </w:r>
      <w:r>
        <w:t xml:space="preserve"> </w:t>
      </w:r>
      <w:r w:rsidRPr="005F7C6F">
        <w:t>https://www.resolutionfoundation.org/app/uploads/2025/06/Spending-Review-2025.pdf</w:t>
      </w:r>
    </w:p>
  </w:footnote>
  <w:footnote w:id="16">
    <w:p w14:paraId="6AA404D1" w14:textId="6C63E47A" w:rsidR="00492C1C" w:rsidRDefault="00492C1C">
      <w:pPr>
        <w:pStyle w:val="FootnoteText"/>
      </w:pPr>
      <w:r>
        <w:rPr>
          <w:rStyle w:val="FootnoteReference"/>
        </w:rPr>
        <w:footnoteRef/>
      </w:r>
      <w:r>
        <w:t xml:space="preserve"> </w:t>
      </w:r>
      <w:r w:rsidRPr="00492C1C">
        <w:t>https://www.sciencecampaign.org.uk/press/detail/response-to-spending-review-2025/</w:t>
      </w:r>
    </w:p>
  </w:footnote>
  <w:footnote w:id="17">
    <w:p w14:paraId="36B7B35A" w14:textId="3C215AEA" w:rsidR="34CD8884" w:rsidRPr="00554EDA" w:rsidRDefault="34CD8884" w:rsidP="34CD8884">
      <w:pPr>
        <w:pStyle w:val="FootnoteText"/>
      </w:pPr>
      <w:r w:rsidRPr="00554EDA">
        <w:rPr>
          <w:rStyle w:val="FootnoteReference"/>
        </w:rPr>
        <w:footnoteRef/>
      </w:r>
      <w:r w:rsidRPr="00554EDA">
        <w:t xml:space="preserve"> </w:t>
      </w:r>
      <w:r w:rsidR="0044689C" w:rsidRPr="0044689C">
        <w:t>https://prospect.org.uk/news/the-government-must-move-quickly-to-publish-and-implement-an-ambitious-industrial-strategy-and-invest-in-skills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AA2B" w14:textId="77777777" w:rsidR="001C6CB1" w:rsidRDefault="001C6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F95CA" w14:textId="258B93D1" w:rsidR="001C6CB1" w:rsidRDefault="001C6C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1DE51" w14:textId="77777777" w:rsidR="00296E6D" w:rsidRDefault="00296E6D">
    <w:pPr>
      <w:pStyle w:val="Header"/>
    </w:pPr>
    <w:r>
      <w:rPr>
        <w:noProof/>
      </w:rPr>
      <w:drawing>
        <wp:anchor distT="0" distB="0" distL="114300" distR="114300" simplePos="0" relativeHeight="251657216" behindDoc="0" locked="0" layoutInCell="1" allowOverlap="1" wp14:anchorId="7031AEC9" wp14:editId="3D0B42B7">
          <wp:simplePos x="0" y="0"/>
          <wp:positionH relativeFrom="page">
            <wp:posOffset>2982817</wp:posOffset>
          </wp:positionH>
          <wp:positionV relativeFrom="page">
            <wp:posOffset>382270</wp:posOffset>
          </wp:positionV>
          <wp:extent cx="2001600" cy="1004400"/>
          <wp:effectExtent l="0" t="0" r="5080" b="0"/>
          <wp:wrapTopAndBottom/>
          <wp:docPr id="1019346461" name="Picture 101934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spect_Logo_Black_RGB-300dpi.png"/>
                  <pic:cNvPicPr/>
                </pic:nvPicPr>
                <pic:blipFill>
                  <a:blip r:embed="rId1">
                    <a:extLst>
                      <a:ext uri="{28A0092B-C50C-407E-A947-70E740481C1C}">
                        <a14:useLocalDpi xmlns:a14="http://schemas.microsoft.com/office/drawing/2010/main" val="0"/>
                      </a:ext>
                    </a:extLst>
                  </a:blip>
                  <a:stretch>
                    <a:fillRect/>
                  </a:stretch>
                </pic:blipFill>
                <pic:spPr>
                  <a:xfrm>
                    <a:off x="0" y="0"/>
                    <a:ext cx="20016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254"/>
    <w:multiLevelType w:val="multilevel"/>
    <w:tmpl w:val="81F056D8"/>
    <w:lvl w:ilvl="0">
      <w:start w:val="1"/>
      <w:numFmt w:val="decimal"/>
      <w:pStyle w:val="ListNumber"/>
      <w:lvlText w:val="%1."/>
      <w:lvlJc w:val="left"/>
      <w:pPr>
        <w:ind w:left="340" w:hanging="340"/>
      </w:pPr>
    </w:lvl>
    <w:lvl w:ilvl="1">
      <w:start w:val="1"/>
      <w:numFmt w:val="lowerLetter"/>
      <w:lvlRestart w:val="0"/>
      <w:pStyle w:val="ListNumber2"/>
      <w:lvlText w:val="%2)"/>
      <w:lvlJc w:val="left"/>
      <w:pPr>
        <w:tabs>
          <w:tab w:val="num" w:pos="680"/>
        </w:tabs>
        <w:ind w:left="680" w:hanging="340"/>
      </w:pPr>
    </w:lvl>
    <w:lvl w:ilvl="2">
      <w:start w:val="1"/>
      <w:numFmt w:val="lowerRoman"/>
      <w:lvlRestart w:val="0"/>
      <w:pStyle w:val="ListNumber3"/>
      <w:lvlText w:val="%3)"/>
      <w:lvlJc w:val="left"/>
      <w:pPr>
        <w:tabs>
          <w:tab w:val="num" w:pos="1021"/>
        </w:tabs>
        <w:ind w:left="1021" w:hanging="341"/>
      </w:pPr>
    </w:lvl>
    <w:lvl w:ilvl="3">
      <w:start w:val="1"/>
      <w:numFmt w:val="lowerRoman"/>
      <w:pStyle w:val="ListNumber4"/>
      <w:lvlText w:val="%4"/>
      <w:lvlJc w:val="left"/>
      <w:pPr>
        <w:tabs>
          <w:tab w:val="num" w:pos="1985"/>
        </w:tabs>
        <w:ind w:left="1985" w:hanging="397"/>
      </w:pPr>
    </w:lvl>
    <w:lvl w:ilvl="4">
      <w:start w:val="1"/>
      <w:numFmt w:val="lowerLetter"/>
      <w:lvlRestart w:val="0"/>
      <w:pStyle w:val="ListNumber5"/>
      <w:lvlText w:val="%5."/>
      <w:lvlJc w:val="left"/>
      <w:pPr>
        <w:tabs>
          <w:tab w:val="num" w:pos="2268"/>
        </w:tabs>
        <w:ind w:left="2268" w:hanging="283"/>
      </w:pPr>
    </w:lvl>
    <w:lvl w:ilvl="5">
      <w:start w:val="1"/>
      <w:numFmt w:val="decimal"/>
      <w:lvlRestart w:val="0"/>
      <w:lvlText w:val=""/>
      <w:lvlJc w:val="left"/>
      <w:pPr>
        <w:tabs>
          <w:tab w:val="num" w:pos="1871"/>
        </w:tabs>
        <w:ind w:left="1871" w:hanging="283"/>
      </w:pPr>
    </w:lvl>
    <w:lvl w:ilvl="6">
      <w:start w:val="1"/>
      <w:numFmt w:val="decimal"/>
      <w:lvlRestart w:val="0"/>
      <w:lvlText w:val=""/>
      <w:lvlJc w:val="left"/>
      <w:pPr>
        <w:ind w:left="2520" w:hanging="360"/>
      </w:pPr>
    </w:lvl>
    <w:lvl w:ilvl="7">
      <w:start w:val="1"/>
      <w:numFmt w:val="decimal"/>
      <w:lvlRestart w:val="0"/>
      <w:lvlText w:val=""/>
      <w:lvlJc w:val="left"/>
      <w:pPr>
        <w:ind w:left="2880" w:hanging="360"/>
      </w:pPr>
    </w:lvl>
    <w:lvl w:ilvl="8">
      <w:start w:val="1"/>
      <w:numFmt w:val="decimal"/>
      <w:lvlRestart w:val="0"/>
      <w:lvlText w:val=""/>
      <w:lvlJc w:val="left"/>
      <w:pPr>
        <w:ind w:left="3240" w:hanging="360"/>
      </w:pPr>
    </w:lvl>
  </w:abstractNum>
  <w:abstractNum w:abstractNumId="1" w15:restartNumberingAfterBreak="0">
    <w:nsid w:val="1001170C"/>
    <w:multiLevelType w:val="hybridMultilevel"/>
    <w:tmpl w:val="A1C2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7059C"/>
    <w:multiLevelType w:val="hybridMultilevel"/>
    <w:tmpl w:val="BA721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85865"/>
    <w:multiLevelType w:val="hybridMultilevel"/>
    <w:tmpl w:val="D19CE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06544"/>
    <w:multiLevelType w:val="multilevel"/>
    <w:tmpl w:val="DFFE91E0"/>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abstractNum w:abstractNumId="5" w15:restartNumberingAfterBreak="0">
    <w:nsid w:val="30B55DF7"/>
    <w:multiLevelType w:val="hybridMultilevel"/>
    <w:tmpl w:val="2A988888"/>
    <w:lvl w:ilvl="0" w:tplc="5124404E">
      <w:start w:val="1"/>
      <w:numFmt w:val="bullet"/>
      <w:lvlText w:val=""/>
      <w:lvlJc w:val="left"/>
      <w:pPr>
        <w:ind w:left="720" w:hanging="360"/>
      </w:pPr>
      <w:rPr>
        <w:rFonts w:ascii="Symbol" w:hAnsi="Symbol" w:hint="default"/>
      </w:rPr>
    </w:lvl>
    <w:lvl w:ilvl="1" w:tplc="4628ED58">
      <w:start w:val="1"/>
      <w:numFmt w:val="bullet"/>
      <w:lvlText w:val="o"/>
      <w:lvlJc w:val="left"/>
      <w:pPr>
        <w:ind w:left="1440" w:hanging="360"/>
      </w:pPr>
      <w:rPr>
        <w:rFonts w:ascii="Courier New" w:hAnsi="Courier New" w:hint="default"/>
      </w:rPr>
    </w:lvl>
    <w:lvl w:ilvl="2" w:tplc="D69CBA72" w:tentative="1">
      <w:start w:val="1"/>
      <w:numFmt w:val="bullet"/>
      <w:lvlText w:val=""/>
      <w:lvlJc w:val="left"/>
      <w:pPr>
        <w:ind w:left="2160" w:hanging="360"/>
      </w:pPr>
      <w:rPr>
        <w:rFonts w:ascii="Wingdings" w:hAnsi="Wingdings" w:hint="default"/>
      </w:rPr>
    </w:lvl>
    <w:lvl w:ilvl="3" w:tplc="2DF208C6" w:tentative="1">
      <w:start w:val="1"/>
      <w:numFmt w:val="bullet"/>
      <w:lvlText w:val=""/>
      <w:lvlJc w:val="left"/>
      <w:pPr>
        <w:ind w:left="2880" w:hanging="360"/>
      </w:pPr>
      <w:rPr>
        <w:rFonts w:ascii="Symbol" w:hAnsi="Symbol" w:hint="default"/>
      </w:rPr>
    </w:lvl>
    <w:lvl w:ilvl="4" w:tplc="0600A2A0" w:tentative="1">
      <w:start w:val="1"/>
      <w:numFmt w:val="bullet"/>
      <w:lvlText w:val="o"/>
      <w:lvlJc w:val="left"/>
      <w:pPr>
        <w:ind w:left="3600" w:hanging="360"/>
      </w:pPr>
      <w:rPr>
        <w:rFonts w:ascii="Courier New" w:hAnsi="Courier New" w:hint="default"/>
      </w:rPr>
    </w:lvl>
    <w:lvl w:ilvl="5" w:tplc="412CC056" w:tentative="1">
      <w:start w:val="1"/>
      <w:numFmt w:val="bullet"/>
      <w:lvlText w:val=""/>
      <w:lvlJc w:val="left"/>
      <w:pPr>
        <w:ind w:left="4320" w:hanging="360"/>
      </w:pPr>
      <w:rPr>
        <w:rFonts w:ascii="Wingdings" w:hAnsi="Wingdings" w:hint="default"/>
      </w:rPr>
    </w:lvl>
    <w:lvl w:ilvl="6" w:tplc="1B501A8E" w:tentative="1">
      <w:start w:val="1"/>
      <w:numFmt w:val="bullet"/>
      <w:lvlText w:val=""/>
      <w:lvlJc w:val="left"/>
      <w:pPr>
        <w:ind w:left="5040" w:hanging="360"/>
      </w:pPr>
      <w:rPr>
        <w:rFonts w:ascii="Symbol" w:hAnsi="Symbol" w:hint="default"/>
      </w:rPr>
    </w:lvl>
    <w:lvl w:ilvl="7" w:tplc="206082A2" w:tentative="1">
      <w:start w:val="1"/>
      <w:numFmt w:val="bullet"/>
      <w:lvlText w:val="o"/>
      <w:lvlJc w:val="left"/>
      <w:pPr>
        <w:ind w:left="5760" w:hanging="360"/>
      </w:pPr>
      <w:rPr>
        <w:rFonts w:ascii="Courier New" w:hAnsi="Courier New" w:hint="default"/>
      </w:rPr>
    </w:lvl>
    <w:lvl w:ilvl="8" w:tplc="11542B2C" w:tentative="1">
      <w:start w:val="1"/>
      <w:numFmt w:val="bullet"/>
      <w:lvlText w:val=""/>
      <w:lvlJc w:val="left"/>
      <w:pPr>
        <w:ind w:left="6480" w:hanging="360"/>
      </w:pPr>
      <w:rPr>
        <w:rFonts w:ascii="Wingdings" w:hAnsi="Wingdings" w:hint="default"/>
      </w:rPr>
    </w:lvl>
  </w:abstractNum>
  <w:abstractNum w:abstractNumId="6" w15:restartNumberingAfterBreak="0">
    <w:nsid w:val="3F0E4DB2"/>
    <w:multiLevelType w:val="hybridMultilevel"/>
    <w:tmpl w:val="BA469A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3E24B3"/>
    <w:multiLevelType w:val="hybridMultilevel"/>
    <w:tmpl w:val="3BF45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CD1D9A"/>
    <w:multiLevelType w:val="multilevel"/>
    <w:tmpl w:val="1E006DEC"/>
    <w:styleLink w:val="Headings"/>
    <w:lvl w:ilvl="0">
      <w:start w:val="1"/>
      <w:numFmt w:val="decimal"/>
      <w:pStyle w:val="Heading1"/>
      <w:suff w:val="nothing"/>
      <w:lvlText w:val=""/>
      <w:lvlJc w:val="left"/>
      <w:pPr>
        <w:ind w:left="0" w:firstLine="0"/>
      </w:pPr>
      <w:rPr>
        <w:b/>
        <w:i w:val="0"/>
        <w:caps w:val="0"/>
        <w:strike w:val="0"/>
        <w:dstrike w:val="0"/>
        <w:vanish w:val="0"/>
        <w:sz w:val="20"/>
        <w:vertAlign w:val="baseline"/>
      </w:rPr>
    </w:lvl>
    <w:lvl w:ilvl="1">
      <w:start w:val="1"/>
      <w:numFmt w:val="decimal"/>
      <w:lvlRestart w:val="0"/>
      <w:suff w:val="nothing"/>
      <w:lvlText w:val=""/>
      <w:lvlJc w:val="left"/>
      <w:pPr>
        <w:ind w:left="0" w:firstLine="0"/>
      </w:pPr>
    </w:lvl>
    <w:lvl w:ilvl="2">
      <w:start w:val="1"/>
      <w:numFmt w:val="decimal"/>
      <w:lvlRestart w:val="0"/>
      <w:pStyle w:val="Heading3numbered"/>
      <w:lvlText w:val="%3."/>
      <w:lvlJc w:val="left"/>
      <w:pPr>
        <w:tabs>
          <w:tab w:val="num" w:pos="567"/>
        </w:tabs>
        <w:ind w:left="567" w:hanging="567"/>
      </w:pPr>
    </w:lvl>
    <w:lvl w:ilvl="3">
      <w:start w:val="1"/>
      <w:numFmt w:val="lowerLetter"/>
      <w:lvlRestart w:val="0"/>
      <w:pStyle w:val="Heading4numbered"/>
      <w:lvlText w:val="%4)"/>
      <w:lvlJc w:val="left"/>
      <w:pPr>
        <w:tabs>
          <w:tab w:val="num" w:pos="567"/>
        </w:tabs>
        <w:ind w:left="567" w:hanging="567"/>
      </w:pPr>
    </w:lvl>
    <w:lvl w:ilvl="4">
      <w:start w:val="1"/>
      <w:numFmt w:val="lowerRoman"/>
      <w:lvlRestart w:val="0"/>
      <w:pStyle w:val="Heading5numbered"/>
      <w:lvlText w:val="%5)"/>
      <w:lvlJc w:val="left"/>
      <w:pPr>
        <w:ind w:left="567" w:firstLine="0"/>
      </w:pPr>
    </w:lvl>
    <w:lvl w:ilvl="5">
      <w:start w:val="1"/>
      <w:numFmt w:val="decimal"/>
      <w:lvlRestart w:val="0"/>
      <w:lvlText w:val=""/>
      <w:lvlJc w:val="left"/>
      <w:pPr>
        <w:ind w:left="2160" w:hanging="360"/>
      </w:pPr>
    </w:lvl>
    <w:lvl w:ilvl="6">
      <w:start w:val="1"/>
      <w:numFmt w:val="decimal"/>
      <w:lvlRestart w:val="0"/>
      <w:lvlText w:val=""/>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9" w15:restartNumberingAfterBreak="0">
    <w:nsid w:val="4AA7262E"/>
    <w:multiLevelType w:val="hybridMultilevel"/>
    <w:tmpl w:val="D398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9D687E"/>
    <w:multiLevelType w:val="hybridMultilevel"/>
    <w:tmpl w:val="CE901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C43A56"/>
    <w:multiLevelType w:val="hybridMultilevel"/>
    <w:tmpl w:val="5E0A3468"/>
    <w:lvl w:ilvl="0" w:tplc="B67E9D78">
      <w:start w:val="1"/>
      <w:numFmt w:val="lowerLetter"/>
      <w:pStyle w:val="Normalnumberedparasa"/>
      <w:lvlText w:val="%1)"/>
      <w:lvlJc w:val="left"/>
      <w:pPr>
        <w:ind w:left="360" w:hanging="360"/>
      </w:pPr>
      <w:rPr>
        <w:rFonts w:ascii="Arial" w:hAnsi="Arial" w:hint="default"/>
        <w:b w:val="0"/>
        <w:i w:val="0"/>
        <w:sz w:val="21"/>
      </w:rPr>
    </w:lvl>
    <w:lvl w:ilvl="1" w:tplc="A1B8AD4E" w:tentative="1">
      <w:start w:val="1"/>
      <w:numFmt w:val="lowerLetter"/>
      <w:lvlText w:val="%2."/>
      <w:lvlJc w:val="left"/>
      <w:pPr>
        <w:ind w:left="1440" w:hanging="360"/>
      </w:pPr>
    </w:lvl>
    <w:lvl w:ilvl="2" w:tplc="0946217C" w:tentative="1">
      <w:start w:val="1"/>
      <w:numFmt w:val="lowerRoman"/>
      <w:lvlText w:val="%3."/>
      <w:lvlJc w:val="right"/>
      <w:pPr>
        <w:ind w:left="2160" w:hanging="180"/>
      </w:pPr>
    </w:lvl>
    <w:lvl w:ilvl="3" w:tplc="E9807876" w:tentative="1">
      <w:start w:val="1"/>
      <w:numFmt w:val="decimal"/>
      <w:lvlText w:val="%4."/>
      <w:lvlJc w:val="left"/>
      <w:pPr>
        <w:ind w:left="2880" w:hanging="360"/>
      </w:pPr>
    </w:lvl>
    <w:lvl w:ilvl="4" w:tplc="B4328B1E" w:tentative="1">
      <w:start w:val="1"/>
      <w:numFmt w:val="lowerLetter"/>
      <w:lvlText w:val="%5."/>
      <w:lvlJc w:val="left"/>
      <w:pPr>
        <w:ind w:left="3600" w:hanging="360"/>
      </w:pPr>
    </w:lvl>
    <w:lvl w:ilvl="5" w:tplc="A4A27848" w:tentative="1">
      <w:start w:val="1"/>
      <w:numFmt w:val="lowerRoman"/>
      <w:lvlText w:val="%6."/>
      <w:lvlJc w:val="right"/>
      <w:pPr>
        <w:ind w:left="4320" w:hanging="180"/>
      </w:pPr>
    </w:lvl>
    <w:lvl w:ilvl="6" w:tplc="DA8814EA" w:tentative="1">
      <w:start w:val="1"/>
      <w:numFmt w:val="decimal"/>
      <w:lvlText w:val="%7."/>
      <w:lvlJc w:val="left"/>
      <w:pPr>
        <w:ind w:left="5040" w:hanging="360"/>
      </w:pPr>
    </w:lvl>
    <w:lvl w:ilvl="7" w:tplc="A1FCE35A" w:tentative="1">
      <w:start w:val="1"/>
      <w:numFmt w:val="lowerLetter"/>
      <w:lvlText w:val="%8."/>
      <w:lvlJc w:val="left"/>
      <w:pPr>
        <w:ind w:left="5760" w:hanging="360"/>
      </w:pPr>
    </w:lvl>
    <w:lvl w:ilvl="8" w:tplc="72EC2B68" w:tentative="1">
      <w:start w:val="1"/>
      <w:numFmt w:val="lowerRoman"/>
      <w:lvlText w:val="%9."/>
      <w:lvlJc w:val="right"/>
      <w:pPr>
        <w:ind w:left="6480" w:hanging="180"/>
      </w:pPr>
    </w:lvl>
  </w:abstractNum>
  <w:abstractNum w:abstractNumId="12" w15:restartNumberingAfterBreak="0">
    <w:nsid w:val="559211FC"/>
    <w:multiLevelType w:val="hybridMultilevel"/>
    <w:tmpl w:val="46EC1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FE28DD"/>
    <w:multiLevelType w:val="multilevel"/>
    <w:tmpl w:val="2FD68F86"/>
    <w:styleLink w:val="ListNumbers"/>
    <w:lvl w:ilvl="0">
      <w:start w:val="1"/>
      <w:numFmt w:val="decimal"/>
      <w:lvlText w:val="%1."/>
      <w:lvlJc w:val="left"/>
      <w:pPr>
        <w:tabs>
          <w:tab w:val="num" w:pos="397"/>
        </w:tabs>
        <w:ind w:left="397" w:hanging="397"/>
      </w:pPr>
    </w:lvl>
    <w:lvl w:ilvl="1">
      <w:start w:val="1"/>
      <w:numFmt w:val="lowerLetter"/>
      <w:lvlText w:val="%2)"/>
      <w:lvlJc w:val="left"/>
      <w:pPr>
        <w:tabs>
          <w:tab w:val="num" w:pos="794"/>
        </w:tabs>
        <w:ind w:left="794" w:hanging="397"/>
      </w:pPr>
    </w:lvl>
    <w:lvl w:ilvl="2">
      <w:start w:val="1"/>
      <w:numFmt w:val="lowerRoman"/>
      <w:lvlText w:val="%3)"/>
      <w:lvlJc w:val="left"/>
      <w:pPr>
        <w:tabs>
          <w:tab w:val="num" w:pos="1191"/>
        </w:tabs>
        <w:ind w:left="1191" w:hanging="397"/>
      </w:pPr>
    </w:lvl>
    <w:lvl w:ilvl="3">
      <w:start w:val="1"/>
      <w:numFmt w:val="lowerRoman"/>
      <w:lvlText w:val="%4."/>
      <w:lvlJc w:val="left"/>
      <w:pPr>
        <w:tabs>
          <w:tab w:val="num" w:pos="1701"/>
        </w:tabs>
        <w:ind w:left="1701" w:hanging="510"/>
      </w:pPr>
    </w:lvl>
    <w:lvl w:ilvl="4">
      <w:start w:val="1"/>
      <w:numFmt w:val="lowerLetter"/>
      <w:lvlText w:val="%5."/>
      <w:lvlJc w:val="left"/>
      <w:pPr>
        <w:tabs>
          <w:tab w:val="num" w:pos="1985"/>
        </w:tabs>
        <w:ind w:left="1985" w:hanging="284"/>
      </w:pPr>
    </w:lvl>
    <w:lvl w:ilvl="5">
      <w:start w:val="1"/>
      <w:numFmt w:val="decimal"/>
      <w:lvlText w:val=""/>
      <w:lvlJc w:val="left"/>
      <w:pPr>
        <w:tabs>
          <w:tab w:val="num" w:pos="2155"/>
        </w:tabs>
        <w:ind w:left="2155" w:hanging="17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5C363E38"/>
    <w:multiLevelType w:val="hybridMultilevel"/>
    <w:tmpl w:val="601CB096"/>
    <w:lvl w:ilvl="0" w:tplc="3508E8F6">
      <w:start w:val="1"/>
      <w:numFmt w:val="decimal"/>
      <w:pStyle w:val="Normalnumberedparas1"/>
      <w:lvlText w:val="%1."/>
      <w:lvlJc w:val="left"/>
      <w:pPr>
        <w:ind w:left="360" w:hanging="360"/>
      </w:pPr>
      <w:rPr>
        <w:sz w:val="22"/>
        <w:szCs w:val="20"/>
      </w:rPr>
    </w:lvl>
    <w:lvl w:ilvl="1" w:tplc="DA12930C">
      <w:start w:val="1"/>
      <w:numFmt w:val="lowerLetter"/>
      <w:lvlText w:val="%2."/>
      <w:lvlJc w:val="left"/>
      <w:pPr>
        <w:ind w:left="1440" w:hanging="360"/>
      </w:pPr>
    </w:lvl>
    <w:lvl w:ilvl="2" w:tplc="C1B6ECAE" w:tentative="1">
      <w:start w:val="1"/>
      <w:numFmt w:val="lowerRoman"/>
      <w:lvlText w:val="%3."/>
      <w:lvlJc w:val="right"/>
      <w:pPr>
        <w:ind w:left="2160" w:hanging="180"/>
      </w:pPr>
    </w:lvl>
    <w:lvl w:ilvl="3" w:tplc="96780908" w:tentative="1">
      <w:start w:val="1"/>
      <w:numFmt w:val="decimal"/>
      <w:lvlText w:val="%4."/>
      <w:lvlJc w:val="left"/>
      <w:pPr>
        <w:ind w:left="2880" w:hanging="360"/>
      </w:pPr>
    </w:lvl>
    <w:lvl w:ilvl="4" w:tplc="C9A8DA00" w:tentative="1">
      <w:start w:val="1"/>
      <w:numFmt w:val="lowerLetter"/>
      <w:lvlText w:val="%5."/>
      <w:lvlJc w:val="left"/>
      <w:pPr>
        <w:ind w:left="3600" w:hanging="360"/>
      </w:pPr>
    </w:lvl>
    <w:lvl w:ilvl="5" w:tplc="E50EED22" w:tentative="1">
      <w:start w:val="1"/>
      <w:numFmt w:val="lowerRoman"/>
      <w:lvlText w:val="%6."/>
      <w:lvlJc w:val="right"/>
      <w:pPr>
        <w:ind w:left="4320" w:hanging="180"/>
      </w:pPr>
    </w:lvl>
    <w:lvl w:ilvl="6" w:tplc="C4EE61B4" w:tentative="1">
      <w:start w:val="1"/>
      <w:numFmt w:val="decimal"/>
      <w:lvlText w:val="%7."/>
      <w:lvlJc w:val="left"/>
      <w:pPr>
        <w:ind w:left="5040" w:hanging="360"/>
      </w:pPr>
    </w:lvl>
    <w:lvl w:ilvl="7" w:tplc="D3946FD4" w:tentative="1">
      <w:start w:val="1"/>
      <w:numFmt w:val="lowerLetter"/>
      <w:lvlText w:val="%8."/>
      <w:lvlJc w:val="left"/>
      <w:pPr>
        <w:ind w:left="5760" w:hanging="360"/>
      </w:pPr>
    </w:lvl>
    <w:lvl w:ilvl="8" w:tplc="97A4FE8A" w:tentative="1">
      <w:start w:val="1"/>
      <w:numFmt w:val="lowerRoman"/>
      <w:lvlText w:val="%9."/>
      <w:lvlJc w:val="right"/>
      <w:pPr>
        <w:ind w:left="6480" w:hanging="180"/>
      </w:pPr>
    </w:lvl>
  </w:abstractNum>
  <w:abstractNum w:abstractNumId="15" w15:restartNumberingAfterBreak="0">
    <w:nsid w:val="5E8C7E78"/>
    <w:multiLevelType w:val="hybridMultilevel"/>
    <w:tmpl w:val="15525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DD2AC6"/>
    <w:multiLevelType w:val="hybridMultilevel"/>
    <w:tmpl w:val="5C2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F82CE9"/>
    <w:multiLevelType w:val="hybridMultilevel"/>
    <w:tmpl w:val="4C30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34587"/>
    <w:multiLevelType w:val="hybridMultilevel"/>
    <w:tmpl w:val="38A2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938492">
    <w:abstractNumId w:val="8"/>
  </w:num>
  <w:num w:numId="2" w16cid:durableId="418017601">
    <w:abstractNumId w:val="0"/>
  </w:num>
  <w:num w:numId="3" w16cid:durableId="765149403">
    <w:abstractNumId w:val="4"/>
  </w:num>
  <w:num w:numId="4" w16cid:durableId="1636106635">
    <w:abstractNumId w:val="13"/>
  </w:num>
  <w:num w:numId="5" w16cid:durableId="1344016215">
    <w:abstractNumId w:val="14"/>
  </w:num>
  <w:num w:numId="6" w16cid:durableId="346560048">
    <w:abstractNumId w:val="11"/>
  </w:num>
  <w:num w:numId="7" w16cid:durableId="243804845">
    <w:abstractNumId w:val="5"/>
  </w:num>
  <w:num w:numId="8" w16cid:durableId="534273180">
    <w:abstractNumId w:val="2"/>
  </w:num>
  <w:num w:numId="9" w16cid:durableId="1146387159">
    <w:abstractNumId w:val="12"/>
  </w:num>
  <w:num w:numId="10" w16cid:durableId="1316645657">
    <w:abstractNumId w:val="16"/>
  </w:num>
  <w:num w:numId="11" w16cid:durableId="452095883">
    <w:abstractNumId w:val="17"/>
  </w:num>
  <w:num w:numId="12" w16cid:durableId="2039353002">
    <w:abstractNumId w:val="7"/>
  </w:num>
  <w:num w:numId="13" w16cid:durableId="958268620">
    <w:abstractNumId w:val="6"/>
  </w:num>
  <w:num w:numId="14" w16cid:durableId="992488641">
    <w:abstractNumId w:val="3"/>
  </w:num>
  <w:num w:numId="15" w16cid:durableId="657997859">
    <w:abstractNumId w:val="9"/>
  </w:num>
  <w:num w:numId="16" w16cid:durableId="1921862065">
    <w:abstractNumId w:val="15"/>
  </w:num>
  <w:num w:numId="17" w16cid:durableId="387147616">
    <w:abstractNumId w:val="1"/>
  </w:num>
  <w:num w:numId="18" w16cid:durableId="1904948193">
    <w:abstractNumId w:val="18"/>
  </w:num>
  <w:num w:numId="19" w16cid:durableId="1159885783">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F6"/>
    <w:rsid w:val="0000115D"/>
    <w:rsid w:val="00001869"/>
    <w:rsid w:val="00004041"/>
    <w:rsid w:val="000047AA"/>
    <w:rsid w:val="0000584E"/>
    <w:rsid w:val="00007BC5"/>
    <w:rsid w:val="00011B6B"/>
    <w:rsid w:val="000121BA"/>
    <w:rsid w:val="000134EA"/>
    <w:rsid w:val="000142AD"/>
    <w:rsid w:val="00014F10"/>
    <w:rsid w:val="0001501A"/>
    <w:rsid w:val="000172EA"/>
    <w:rsid w:val="000177D8"/>
    <w:rsid w:val="0002123F"/>
    <w:rsid w:val="00021885"/>
    <w:rsid w:val="00022050"/>
    <w:rsid w:val="0002239A"/>
    <w:rsid w:val="0002262A"/>
    <w:rsid w:val="000233F5"/>
    <w:rsid w:val="000253B9"/>
    <w:rsid w:val="00025536"/>
    <w:rsid w:val="00025ECB"/>
    <w:rsid w:val="00026173"/>
    <w:rsid w:val="000308B0"/>
    <w:rsid w:val="00032145"/>
    <w:rsid w:val="00032DF0"/>
    <w:rsid w:val="00033E31"/>
    <w:rsid w:val="00034577"/>
    <w:rsid w:val="000422DF"/>
    <w:rsid w:val="00047668"/>
    <w:rsid w:val="000500D7"/>
    <w:rsid w:val="000502A6"/>
    <w:rsid w:val="000507A1"/>
    <w:rsid w:val="000519AD"/>
    <w:rsid w:val="00053562"/>
    <w:rsid w:val="00053953"/>
    <w:rsid w:val="000543B2"/>
    <w:rsid w:val="00054A21"/>
    <w:rsid w:val="000552E9"/>
    <w:rsid w:val="00055A48"/>
    <w:rsid w:val="0005610F"/>
    <w:rsid w:val="000569F7"/>
    <w:rsid w:val="000607B3"/>
    <w:rsid w:val="00061444"/>
    <w:rsid w:val="00061561"/>
    <w:rsid w:val="0006374D"/>
    <w:rsid w:val="00064583"/>
    <w:rsid w:val="00064E63"/>
    <w:rsid w:val="0006604B"/>
    <w:rsid w:val="0006607A"/>
    <w:rsid w:val="00066224"/>
    <w:rsid w:val="000702B4"/>
    <w:rsid w:val="000708C9"/>
    <w:rsid w:val="00073121"/>
    <w:rsid w:val="00074D42"/>
    <w:rsid w:val="00075CF0"/>
    <w:rsid w:val="000766B8"/>
    <w:rsid w:val="000773EE"/>
    <w:rsid w:val="000774C3"/>
    <w:rsid w:val="00081E26"/>
    <w:rsid w:val="00082958"/>
    <w:rsid w:val="00082B0F"/>
    <w:rsid w:val="000835A2"/>
    <w:rsid w:val="00084476"/>
    <w:rsid w:val="000878AD"/>
    <w:rsid w:val="00090D42"/>
    <w:rsid w:val="00094C62"/>
    <w:rsid w:val="00095505"/>
    <w:rsid w:val="00097C5C"/>
    <w:rsid w:val="000A1A19"/>
    <w:rsid w:val="000A27FE"/>
    <w:rsid w:val="000A29E4"/>
    <w:rsid w:val="000A2E2A"/>
    <w:rsid w:val="000B0B8D"/>
    <w:rsid w:val="000B244F"/>
    <w:rsid w:val="000B4915"/>
    <w:rsid w:val="000B4D29"/>
    <w:rsid w:val="000B7F45"/>
    <w:rsid w:val="000C0055"/>
    <w:rsid w:val="000C2D03"/>
    <w:rsid w:val="000C40E0"/>
    <w:rsid w:val="000C470D"/>
    <w:rsid w:val="000C65D0"/>
    <w:rsid w:val="000D0527"/>
    <w:rsid w:val="000D08B9"/>
    <w:rsid w:val="000D1355"/>
    <w:rsid w:val="000D1947"/>
    <w:rsid w:val="000D2062"/>
    <w:rsid w:val="000D3C12"/>
    <w:rsid w:val="000D41CD"/>
    <w:rsid w:val="000D4334"/>
    <w:rsid w:val="000D4D68"/>
    <w:rsid w:val="000D5566"/>
    <w:rsid w:val="000D5B57"/>
    <w:rsid w:val="000D6519"/>
    <w:rsid w:val="000D7A6B"/>
    <w:rsid w:val="000E0528"/>
    <w:rsid w:val="000E1F65"/>
    <w:rsid w:val="000E246D"/>
    <w:rsid w:val="000E29E4"/>
    <w:rsid w:val="000E319B"/>
    <w:rsid w:val="000E3910"/>
    <w:rsid w:val="000E424D"/>
    <w:rsid w:val="000E436C"/>
    <w:rsid w:val="000E5ACF"/>
    <w:rsid w:val="000E646E"/>
    <w:rsid w:val="000E64E7"/>
    <w:rsid w:val="000E7EF3"/>
    <w:rsid w:val="000F5617"/>
    <w:rsid w:val="000F629A"/>
    <w:rsid w:val="001002F0"/>
    <w:rsid w:val="00100CEE"/>
    <w:rsid w:val="00101F17"/>
    <w:rsid w:val="0010424C"/>
    <w:rsid w:val="00104468"/>
    <w:rsid w:val="001060BE"/>
    <w:rsid w:val="00107A1F"/>
    <w:rsid w:val="00107AE6"/>
    <w:rsid w:val="0011027B"/>
    <w:rsid w:val="0011138B"/>
    <w:rsid w:val="00112D39"/>
    <w:rsid w:val="00114EFD"/>
    <w:rsid w:val="00114F78"/>
    <w:rsid w:val="001154C8"/>
    <w:rsid w:val="001169DC"/>
    <w:rsid w:val="00117B7F"/>
    <w:rsid w:val="0012036C"/>
    <w:rsid w:val="001209C4"/>
    <w:rsid w:val="00120E64"/>
    <w:rsid w:val="00121217"/>
    <w:rsid w:val="001226D2"/>
    <w:rsid w:val="00122E71"/>
    <w:rsid w:val="001236B8"/>
    <w:rsid w:val="00123F71"/>
    <w:rsid w:val="001246F8"/>
    <w:rsid w:val="001263A9"/>
    <w:rsid w:val="00126A01"/>
    <w:rsid w:val="00126C47"/>
    <w:rsid w:val="00127D18"/>
    <w:rsid w:val="0013031F"/>
    <w:rsid w:val="00132547"/>
    <w:rsid w:val="00132F21"/>
    <w:rsid w:val="00135D64"/>
    <w:rsid w:val="00135D88"/>
    <w:rsid w:val="0013666D"/>
    <w:rsid w:val="001408DF"/>
    <w:rsid w:val="001410CC"/>
    <w:rsid w:val="001417BB"/>
    <w:rsid w:val="00142232"/>
    <w:rsid w:val="0014255E"/>
    <w:rsid w:val="0014374F"/>
    <w:rsid w:val="001465A5"/>
    <w:rsid w:val="00146712"/>
    <w:rsid w:val="00146EEE"/>
    <w:rsid w:val="00147D84"/>
    <w:rsid w:val="001511F3"/>
    <w:rsid w:val="00151A90"/>
    <w:rsid w:val="001520AF"/>
    <w:rsid w:val="00152C05"/>
    <w:rsid w:val="001539BD"/>
    <w:rsid w:val="00154E32"/>
    <w:rsid w:val="00156899"/>
    <w:rsid w:val="00156F4A"/>
    <w:rsid w:val="00160252"/>
    <w:rsid w:val="001622E9"/>
    <w:rsid w:val="00163950"/>
    <w:rsid w:val="001648C4"/>
    <w:rsid w:val="00164968"/>
    <w:rsid w:val="001664C4"/>
    <w:rsid w:val="001666AD"/>
    <w:rsid w:val="0016769C"/>
    <w:rsid w:val="00167C0A"/>
    <w:rsid w:val="00167F9C"/>
    <w:rsid w:val="0017019A"/>
    <w:rsid w:val="001707FF"/>
    <w:rsid w:val="001736F9"/>
    <w:rsid w:val="00173BFB"/>
    <w:rsid w:val="00174427"/>
    <w:rsid w:val="001757D3"/>
    <w:rsid w:val="00175D68"/>
    <w:rsid w:val="00176735"/>
    <w:rsid w:val="0017774B"/>
    <w:rsid w:val="00180409"/>
    <w:rsid w:val="00182E7E"/>
    <w:rsid w:val="00183778"/>
    <w:rsid w:val="00183D96"/>
    <w:rsid w:val="001841A8"/>
    <w:rsid w:val="00184B01"/>
    <w:rsid w:val="00184DE0"/>
    <w:rsid w:val="0018506D"/>
    <w:rsid w:val="00186270"/>
    <w:rsid w:val="001918F6"/>
    <w:rsid w:val="0019251E"/>
    <w:rsid w:val="00192C2B"/>
    <w:rsid w:val="00193CA4"/>
    <w:rsid w:val="00195454"/>
    <w:rsid w:val="00195D53"/>
    <w:rsid w:val="00195E50"/>
    <w:rsid w:val="001A0214"/>
    <w:rsid w:val="001A0859"/>
    <w:rsid w:val="001A2E8B"/>
    <w:rsid w:val="001A2F3A"/>
    <w:rsid w:val="001A4CFA"/>
    <w:rsid w:val="001A61AA"/>
    <w:rsid w:val="001A6211"/>
    <w:rsid w:val="001A6794"/>
    <w:rsid w:val="001B1121"/>
    <w:rsid w:val="001B142D"/>
    <w:rsid w:val="001B1DAE"/>
    <w:rsid w:val="001B24A8"/>
    <w:rsid w:val="001B3070"/>
    <w:rsid w:val="001B4181"/>
    <w:rsid w:val="001B4AC2"/>
    <w:rsid w:val="001B5169"/>
    <w:rsid w:val="001C1C80"/>
    <w:rsid w:val="001C295A"/>
    <w:rsid w:val="001C35F6"/>
    <w:rsid w:val="001C3C95"/>
    <w:rsid w:val="001C464C"/>
    <w:rsid w:val="001C5AC9"/>
    <w:rsid w:val="001C6CB1"/>
    <w:rsid w:val="001D10B2"/>
    <w:rsid w:val="001D1F0E"/>
    <w:rsid w:val="001D337A"/>
    <w:rsid w:val="001D5D14"/>
    <w:rsid w:val="001D5D6E"/>
    <w:rsid w:val="001D7B36"/>
    <w:rsid w:val="001E09AA"/>
    <w:rsid w:val="001E34B0"/>
    <w:rsid w:val="001E42EC"/>
    <w:rsid w:val="001E4C28"/>
    <w:rsid w:val="001E6701"/>
    <w:rsid w:val="001E6C0E"/>
    <w:rsid w:val="001E6DBF"/>
    <w:rsid w:val="001E71D6"/>
    <w:rsid w:val="001E7248"/>
    <w:rsid w:val="001E7E8B"/>
    <w:rsid w:val="001F047C"/>
    <w:rsid w:val="001F54CA"/>
    <w:rsid w:val="001F6134"/>
    <w:rsid w:val="001F62F0"/>
    <w:rsid w:val="001F65E0"/>
    <w:rsid w:val="001F6760"/>
    <w:rsid w:val="001F7B13"/>
    <w:rsid w:val="00200C94"/>
    <w:rsid w:val="00202D02"/>
    <w:rsid w:val="00204013"/>
    <w:rsid w:val="0020439F"/>
    <w:rsid w:val="00204A3C"/>
    <w:rsid w:val="0020523A"/>
    <w:rsid w:val="00205F10"/>
    <w:rsid w:val="00206A31"/>
    <w:rsid w:val="00210A32"/>
    <w:rsid w:val="002120D4"/>
    <w:rsid w:val="0021286C"/>
    <w:rsid w:val="002133A7"/>
    <w:rsid w:val="002151DA"/>
    <w:rsid w:val="00217B1F"/>
    <w:rsid w:val="00224A62"/>
    <w:rsid w:val="0022501C"/>
    <w:rsid w:val="002250F8"/>
    <w:rsid w:val="00226CA7"/>
    <w:rsid w:val="00226ECF"/>
    <w:rsid w:val="00227339"/>
    <w:rsid w:val="00227700"/>
    <w:rsid w:val="00230564"/>
    <w:rsid w:val="00232072"/>
    <w:rsid w:val="002327B9"/>
    <w:rsid w:val="0023289C"/>
    <w:rsid w:val="00232C74"/>
    <w:rsid w:val="002332BC"/>
    <w:rsid w:val="0023370C"/>
    <w:rsid w:val="00235F35"/>
    <w:rsid w:val="0023778E"/>
    <w:rsid w:val="0024033E"/>
    <w:rsid w:val="002403F5"/>
    <w:rsid w:val="00240C23"/>
    <w:rsid w:val="002410D8"/>
    <w:rsid w:val="002418C8"/>
    <w:rsid w:val="00242188"/>
    <w:rsid w:val="002435CD"/>
    <w:rsid w:val="00244EF3"/>
    <w:rsid w:val="00245A47"/>
    <w:rsid w:val="0024648D"/>
    <w:rsid w:val="002477AF"/>
    <w:rsid w:val="00250445"/>
    <w:rsid w:val="00250B9A"/>
    <w:rsid w:val="002526A0"/>
    <w:rsid w:val="00252D2A"/>
    <w:rsid w:val="00255032"/>
    <w:rsid w:val="002555AA"/>
    <w:rsid w:val="002565B8"/>
    <w:rsid w:val="002569F0"/>
    <w:rsid w:val="00256BCA"/>
    <w:rsid w:val="002578B2"/>
    <w:rsid w:val="00257E14"/>
    <w:rsid w:val="00261B59"/>
    <w:rsid w:val="0026248A"/>
    <w:rsid w:val="00262D0D"/>
    <w:rsid w:val="00262F35"/>
    <w:rsid w:val="0026457E"/>
    <w:rsid w:val="00266793"/>
    <w:rsid w:val="00266FED"/>
    <w:rsid w:val="00271775"/>
    <w:rsid w:val="0027255A"/>
    <w:rsid w:val="00272D6E"/>
    <w:rsid w:val="0027502C"/>
    <w:rsid w:val="0027552B"/>
    <w:rsid w:val="002769B1"/>
    <w:rsid w:val="002830E2"/>
    <w:rsid w:val="00283B17"/>
    <w:rsid w:val="00284C89"/>
    <w:rsid w:val="00284EC0"/>
    <w:rsid w:val="00284EF0"/>
    <w:rsid w:val="0028506C"/>
    <w:rsid w:val="00286339"/>
    <w:rsid w:val="0028639D"/>
    <w:rsid w:val="00290962"/>
    <w:rsid w:val="00291235"/>
    <w:rsid w:val="00292EB8"/>
    <w:rsid w:val="002930BE"/>
    <w:rsid w:val="00293FFB"/>
    <w:rsid w:val="00295256"/>
    <w:rsid w:val="00296E6D"/>
    <w:rsid w:val="002977E5"/>
    <w:rsid w:val="00297D37"/>
    <w:rsid w:val="002A0556"/>
    <w:rsid w:val="002A137A"/>
    <w:rsid w:val="002A24BF"/>
    <w:rsid w:val="002A34FD"/>
    <w:rsid w:val="002A5025"/>
    <w:rsid w:val="002A62C6"/>
    <w:rsid w:val="002A6786"/>
    <w:rsid w:val="002A6DE3"/>
    <w:rsid w:val="002B0585"/>
    <w:rsid w:val="002B1F84"/>
    <w:rsid w:val="002B416A"/>
    <w:rsid w:val="002B48FC"/>
    <w:rsid w:val="002B4D5E"/>
    <w:rsid w:val="002B4EC7"/>
    <w:rsid w:val="002B6CE6"/>
    <w:rsid w:val="002B79D0"/>
    <w:rsid w:val="002C04F2"/>
    <w:rsid w:val="002C21B7"/>
    <w:rsid w:val="002C4B6A"/>
    <w:rsid w:val="002C59D8"/>
    <w:rsid w:val="002C615D"/>
    <w:rsid w:val="002C6C47"/>
    <w:rsid w:val="002C7D3A"/>
    <w:rsid w:val="002D0AA2"/>
    <w:rsid w:val="002D1BCD"/>
    <w:rsid w:val="002D2A5B"/>
    <w:rsid w:val="002D33B1"/>
    <w:rsid w:val="002D3F55"/>
    <w:rsid w:val="002D422C"/>
    <w:rsid w:val="002D5678"/>
    <w:rsid w:val="002D5E63"/>
    <w:rsid w:val="002D6165"/>
    <w:rsid w:val="002D6AAA"/>
    <w:rsid w:val="002D7014"/>
    <w:rsid w:val="002D712B"/>
    <w:rsid w:val="002E1DDF"/>
    <w:rsid w:val="002E2A35"/>
    <w:rsid w:val="002E4FD2"/>
    <w:rsid w:val="002E64B0"/>
    <w:rsid w:val="002E665F"/>
    <w:rsid w:val="002E69E4"/>
    <w:rsid w:val="002E73AA"/>
    <w:rsid w:val="002E7A01"/>
    <w:rsid w:val="002F4080"/>
    <w:rsid w:val="002F4D93"/>
    <w:rsid w:val="002F68EB"/>
    <w:rsid w:val="002F764A"/>
    <w:rsid w:val="002F7908"/>
    <w:rsid w:val="00301A0E"/>
    <w:rsid w:val="00303ECF"/>
    <w:rsid w:val="0030526F"/>
    <w:rsid w:val="00307B79"/>
    <w:rsid w:val="00307BB1"/>
    <w:rsid w:val="003100D9"/>
    <w:rsid w:val="00310BF8"/>
    <w:rsid w:val="003112EC"/>
    <w:rsid w:val="00311400"/>
    <w:rsid w:val="003115B8"/>
    <w:rsid w:val="003120F1"/>
    <w:rsid w:val="003122CF"/>
    <w:rsid w:val="00312F70"/>
    <w:rsid w:val="00313E6C"/>
    <w:rsid w:val="003147D3"/>
    <w:rsid w:val="00315176"/>
    <w:rsid w:val="003203CE"/>
    <w:rsid w:val="00321591"/>
    <w:rsid w:val="00321C54"/>
    <w:rsid w:val="0032240B"/>
    <w:rsid w:val="00322DD4"/>
    <w:rsid w:val="00322EA2"/>
    <w:rsid w:val="003234FB"/>
    <w:rsid w:val="003241C1"/>
    <w:rsid w:val="0032431C"/>
    <w:rsid w:val="00324A97"/>
    <w:rsid w:val="00324B2E"/>
    <w:rsid w:val="003265E8"/>
    <w:rsid w:val="00333BA3"/>
    <w:rsid w:val="0033486F"/>
    <w:rsid w:val="00335132"/>
    <w:rsid w:val="003400AE"/>
    <w:rsid w:val="00341919"/>
    <w:rsid w:val="003425DB"/>
    <w:rsid w:val="00342F4B"/>
    <w:rsid w:val="00344A62"/>
    <w:rsid w:val="00344BEB"/>
    <w:rsid w:val="00344ED8"/>
    <w:rsid w:val="003454DE"/>
    <w:rsid w:val="003459FF"/>
    <w:rsid w:val="003460A2"/>
    <w:rsid w:val="003466F5"/>
    <w:rsid w:val="00350DC0"/>
    <w:rsid w:val="0035266A"/>
    <w:rsid w:val="00352BEA"/>
    <w:rsid w:val="00353CBB"/>
    <w:rsid w:val="00354067"/>
    <w:rsid w:val="00360A09"/>
    <w:rsid w:val="00360A80"/>
    <w:rsid w:val="0036102D"/>
    <w:rsid w:val="0036125C"/>
    <w:rsid w:val="00361CA5"/>
    <w:rsid w:val="00370BF5"/>
    <w:rsid w:val="003720C7"/>
    <w:rsid w:val="00372EC9"/>
    <w:rsid w:val="003730ED"/>
    <w:rsid w:val="00373974"/>
    <w:rsid w:val="00374B34"/>
    <w:rsid w:val="00374EF9"/>
    <w:rsid w:val="00375ADD"/>
    <w:rsid w:val="00375D24"/>
    <w:rsid w:val="003766CB"/>
    <w:rsid w:val="00376DB5"/>
    <w:rsid w:val="00377BF5"/>
    <w:rsid w:val="00377D57"/>
    <w:rsid w:val="00377D7D"/>
    <w:rsid w:val="003816EA"/>
    <w:rsid w:val="00382475"/>
    <w:rsid w:val="00382A81"/>
    <w:rsid w:val="00382C1B"/>
    <w:rsid w:val="00382E2E"/>
    <w:rsid w:val="00383063"/>
    <w:rsid w:val="00384B90"/>
    <w:rsid w:val="0038694A"/>
    <w:rsid w:val="00390604"/>
    <w:rsid w:val="00390CEB"/>
    <w:rsid w:val="00391E1D"/>
    <w:rsid w:val="003930DF"/>
    <w:rsid w:val="00393113"/>
    <w:rsid w:val="003955E9"/>
    <w:rsid w:val="003955FF"/>
    <w:rsid w:val="003978D2"/>
    <w:rsid w:val="00397DB5"/>
    <w:rsid w:val="003A0A80"/>
    <w:rsid w:val="003A23CA"/>
    <w:rsid w:val="003A2C7C"/>
    <w:rsid w:val="003A32A4"/>
    <w:rsid w:val="003A3D65"/>
    <w:rsid w:val="003A5246"/>
    <w:rsid w:val="003A5484"/>
    <w:rsid w:val="003A5546"/>
    <w:rsid w:val="003A60FE"/>
    <w:rsid w:val="003B070C"/>
    <w:rsid w:val="003B1771"/>
    <w:rsid w:val="003B1F69"/>
    <w:rsid w:val="003B2FE9"/>
    <w:rsid w:val="003B3CB2"/>
    <w:rsid w:val="003B4D24"/>
    <w:rsid w:val="003B51CA"/>
    <w:rsid w:val="003B5B60"/>
    <w:rsid w:val="003B5E18"/>
    <w:rsid w:val="003B5EBD"/>
    <w:rsid w:val="003B60DE"/>
    <w:rsid w:val="003B6169"/>
    <w:rsid w:val="003B74D4"/>
    <w:rsid w:val="003B7A6B"/>
    <w:rsid w:val="003B7BEA"/>
    <w:rsid w:val="003C0446"/>
    <w:rsid w:val="003C0D8D"/>
    <w:rsid w:val="003C3164"/>
    <w:rsid w:val="003C35C1"/>
    <w:rsid w:val="003C3820"/>
    <w:rsid w:val="003C3FA9"/>
    <w:rsid w:val="003D07A1"/>
    <w:rsid w:val="003D1A4B"/>
    <w:rsid w:val="003D234D"/>
    <w:rsid w:val="003D2CB5"/>
    <w:rsid w:val="003D5BCF"/>
    <w:rsid w:val="003D5DA4"/>
    <w:rsid w:val="003D7857"/>
    <w:rsid w:val="003E0300"/>
    <w:rsid w:val="003E0587"/>
    <w:rsid w:val="003E1076"/>
    <w:rsid w:val="003E2953"/>
    <w:rsid w:val="003E600F"/>
    <w:rsid w:val="003E610D"/>
    <w:rsid w:val="003E6194"/>
    <w:rsid w:val="003E73A6"/>
    <w:rsid w:val="003F1AF0"/>
    <w:rsid w:val="003F2039"/>
    <w:rsid w:val="003F2263"/>
    <w:rsid w:val="003F2684"/>
    <w:rsid w:val="003F2A6A"/>
    <w:rsid w:val="003F3394"/>
    <w:rsid w:val="003F4759"/>
    <w:rsid w:val="003F4DF2"/>
    <w:rsid w:val="003F54EE"/>
    <w:rsid w:val="003F5800"/>
    <w:rsid w:val="003F6400"/>
    <w:rsid w:val="003F6406"/>
    <w:rsid w:val="003F6EE3"/>
    <w:rsid w:val="003F8530"/>
    <w:rsid w:val="0040057A"/>
    <w:rsid w:val="0040526A"/>
    <w:rsid w:val="00405585"/>
    <w:rsid w:val="00407034"/>
    <w:rsid w:val="00407174"/>
    <w:rsid w:val="004113A6"/>
    <w:rsid w:val="00411680"/>
    <w:rsid w:val="00411934"/>
    <w:rsid w:val="00412668"/>
    <w:rsid w:val="00413D5A"/>
    <w:rsid w:val="004153B3"/>
    <w:rsid w:val="00420B5B"/>
    <w:rsid w:val="00420CEA"/>
    <w:rsid w:val="00420D4E"/>
    <w:rsid w:val="00420DDC"/>
    <w:rsid w:val="004210FA"/>
    <w:rsid w:val="004217DE"/>
    <w:rsid w:val="0042259C"/>
    <w:rsid w:val="00422C4E"/>
    <w:rsid w:val="00422EEF"/>
    <w:rsid w:val="004231B5"/>
    <w:rsid w:val="00423589"/>
    <w:rsid w:val="00423876"/>
    <w:rsid w:val="0042494C"/>
    <w:rsid w:val="00427224"/>
    <w:rsid w:val="004273F0"/>
    <w:rsid w:val="00430408"/>
    <w:rsid w:val="00430949"/>
    <w:rsid w:val="0043189D"/>
    <w:rsid w:val="0043211B"/>
    <w:rsid w:val="0043255B"/>
    <w:rsid w:val="004326C2"/>
    <w:rsid w:val="00432B46"/>
    <w:rsid w:val="00432C4F"/>
    <w:rsid w:val="00433C7F"/>
    <w:rsid w:val="00433D10"/>
    <w:rsid w:val="0043436B"/>
    <w:rsid w:val="00436BD4"/>
    <w:rsid w:val="00441B82"/>
    <w:rsid w:val="004422E6"/>
    <w:rsid w:val="00442A59"/>
    <w:rsid w:val="00444300"/>
    <w:rsid w:val="00444332"/>
    <w:rsid w:val="00445872"/>
    <w:rsid w:val="0044689C"/>
    <w:rsid w:val="00451734"/>
    <w:rsid w:val="00451F74"/>
    <w:rsid w:val="0045213A"/>
    <w:rsid w:val="00452570"/>
    <w:rsid w:val="00453DA0"/>
    <w:rsid w:val="0045457C"/>
    <w:rsid w:val="00454F02"/>
    <w:rsid w:val="0045503D"/>
    <w:rsid w:val="00455129"/>
    <w:rsid w:val="00456C51"/>
    <w:rsid w:val="0046011F"/>
    <w:rsid w:val="00460EFB"/>
    <w:rsid w:val="00460F9C"/>
    <w:rsid w:val="004610EC"/>
    <w:rsid w:val="004630D5"/>
    <w:rsid w:val="00463372"/>
    <w:rsid w:val="00463506"/>
    <w:rsid w:val="0046418A"/>
    <w:rsid w:val="004649D1"/>
    <w:rsid w:val="00464DD0"/>
    <w:rsid w:val="0046616F"/>
    <w:rsid w:val="0046643A"/>
    <w:rsid w:val="00466AA2"/>
    <w:rsid w:val="00467251"/>
    <w:rsid w:val="00471FB3"/>
    <w:rsid w:val="0047381D"/>
    <w:rsid w:val="004768E9"/>
    <w:rsid w:val="004768F4"/>
    <w:rsid w:val="00481B8D"/>
    <w:rsid w:val="00483CED"/>
    <w:rsid w:val="004858DB"/>
    <w:rsid w:val="0048636F"/>
    <w:rsid w:val="00487447"/>
    <w:rsid w:val="00487C54"/>
    <w:rsid w:val="00490D33"/>
    <w:rsid w:val="004915D6"/>
    <w:rsid w:val="00491C34"/>
    <w:rsid w:val="00492227"/>
    <w:rsid w:val="00492660"/>
    <w:rsid w:val="00492C1C"/>
    <w:rsid w:val="00494ACF"/>
    <w:rsid w:val="00494E57"/>
    <w:rsid w:val="00495249"/>
    <w:rsid w:val="00496DEC"/>
    <w:rsid w:val="00497BB8"/>
    <w:rsid w:val="004A12BD"/>
    <w:rsid w:val="004A1FBF"/>
    <w:rsid w:val="004A27AD"/>
    <w:rsid w:val="004A36FC"/>
    <w:rsid w:val="004A58AA"/>
    <w:rsid w:val="004A6F68"/>
    <w:rsid w:val="004A6FA1"/>
    <w:rsid w:val="004A761D"/>
    <w:rsid w:val="004A7916"/>
    <w:rsid w:val="004B115D"/>
    <w:rsid w:val="004B118B"/>
    <w:rsid w:val="004B13DB"/>
    <w:rsid w:val="004B1B2B"/>
    <w:rsid w:val="004B2C7D"/>
    <w:rsid w:val="004B3C1C"/>
    <w:rsid w:val="004B5A0E"/>
    <w:rsid w:val="004C061B"/>
    <w:rsid w:val="004C06C2"/>
    <w:rsid w:val="004C263A"/>
    <w:rsid w:val="004C2C86"/>
    <w:rsid w:val="004C3884"/>
    <w:rsid w:val="004C54FA"/>
    <w:rsid w:val="004C6208"/>
    <w:rsid w:val="004C6FA2"/>
    <w:rsid w:val="004D0418"/>
    <w:rsid w:val="004D1FD3"/>
    <w:rsid w:val="004D4480"/>
    <w:rsid w:val="004E1391"/>
    <w:rsid w:val="004E143D"/>
    <w:rsid w:val="004E466A"/>
    <w:rsid w:val="004E70DA"/>
    <w:rsid w:val="004E784A"/>
    <w:rsid w:val="004F0537"/>
    <w:rsid w:val="004F0B53"/>
    <w:rsid w:val="004F2CED"/>
    <w:rsid w:val="004F3E9C"/>
    <w:rsid w:val="004F50E8"/>
    <w:rsid w:val="004F5E9D"/>
    <w:rsid w:val="004F66CA"/>
    <w:rsid w:val="004F6834"/>
    <w:rsid w:val="004F6ADC"/>
    <w:rsid w:val="004F6C54"/>
    <w:rsid w:val="004F78DE"/>
    <w:rsid w:val="004F7DBF"/>
    <w:rsid w:val="0050132D"/>
    <w:rsid w:val="005016A3"/>
    <w:rsid w:val="00502BCE"/>
    <w:rsid w:val="00502C59"/>
    <w:rsid w:val="0050454C"/>
    <w:rsid w:val="0050481F"/>
    <w:rsid w:val="00505F2B"/>
    <w:rsid w:val="0050706A"/>
    <w:rsid w:val="0050D158"/>
    <w:rsid w:val="00510C35"/>
    <w:rsid w:val="005113CA"/>
    <w:rsid w:val="005116E7"/>
    <w:rsid w:val="0051175F"/>
    <w:rsid w:val="0051184D"/>
    <w:rsid w:val="00512DC7"/>
    <w:rsid w:val="00515ED8"/>
    <w:rsid w:val="005221B4"/>
    <w:rsid w:val="005225D5"/>
    <w:rsid w:val="00522791"/>
    <w:rsid w:val="00523616"/>
    <w:rsid w:val="005236D6"/>
    <w:rsid w:val="005249A5"/>
    <w:rsid w:val="005312F6"/>
    <w:rsid w:val="0053215E"/>
    <w:rsid w:val="005329C2"/>
    <w:rsid w:val="005339F4"/>
    <w:rsid w:val="00533D21"/>
    <w:rsid w:val="005378FD"/>
    <w:rsid w:val="00542C53"/>
    <w:rsid w:val="00545AEA"/>
    <w:rsid w:val="00545BE7"/>
    <w:rsid w:val="0054631E"/>
    <w:rsid w:val="005471AF"/>
    <w:rsid w:val="00554EDA"/>
    <w:rsid w:val="00554F54"/>
    <w:rsid w:val="005550BC"/>
    <w:rsid w:val="00562F88"/>
    <w:rsid w:val="005631FF"/>
    <w:rsid w:val="005632BB"/>
    <w:rsid w:val="0056384E"/>
    <w:rsid w:val="00563EA4"/>
    <w:rsid w:val="00564B6C"/>
    <w:rsid w:val="00566653"/>
    <w:rsid w:val="00567340"/>
    <w:rsid w:val="00570A5F"/>
    <w:rsid w:val="0057128F"/>
    <w:rsid w:val="00572254"/>
    <w:rsid w:val="0057271F"/>
    <w:rsid w:val="00574CFD"/>
    <w:rsid w:val="005772F5"/>
    <w:rsid w:val="00577B19"/>
    <w:rsid w:val="00581571"/>
    <w:rsid w:val="005825A2"/>
    <w:rsid w:val="00582A6B"/>
    <w:rsid w:val="00585D30"/>
    <w:rsid w:val="0058605D"/>
    <w:rsid w:val="00586AF8"/>
    <w:rsid w:val="00586CCD"/>
    <w:rsid w:val="00590633"/>
    <w:rsid w:val="00590BB2"/>
    <w:rsid w:val="00591757"/>
    <w:rsid w:val="00591EFA"/>
    <w:rsid w:val="005934C7"/>
    <w:rsid w:val="00594E3D"/>
    <w:rsid w:val="005954F5"/>
    <w:rsid w:val="00596A36"/>
    <w:rsid w:val="00596ED2"/>
    <w:rsid w:val="005A0F73"/>
    <w:rsid w:val="005A2171"/>
    <w:rsid w:val="005A2B47"/>
    <w:rsid w:val="005A7A9E"/>
    <w:rsid w:val="005B041B"/>
    <w:rsid w:val="005B1FBA"/>
    <w:rsid w:val="005B346D"/>
    <w:rsid w:val="005B3DA7"/>
    <w:rsid w:val="005B4913"/>
    <w:rsid w:val="005B4F23"/>
    <w:rsid w:val="005B5938"/>
    <w:rsid w:val="005B77BD"/>
    <w:rsid w:val="005B7E7D"/>
    <w:rsid w:val="005C026B"/>
    <w:rsid w:val="005C0C4F"/>
    <w:rsid w:val="005C1615"/>
    <w:rsid w:val="005C1742"/>
    <w:rsid w:val="005C2206"/>
    <w:rsid w:val="005C22DE"/>
    <w:rsid w:val="005C2B7E"/>
    <w:rsid w:val="005C32E1"/>
    <w:rsid w:val="005C4C5A"/>
    <w:rsid w:val="005C7169"/>
    <w:rsid w:val="005C7981"/>
    <w:rsid w:val="005D141A"/>
    <w:rsid w:val="005D21DC"/>
    <w:rsid w:val="005D2F30"/>
    <w:rsid w:val="005D4A03"/>
    <w:rsid w:val="005D4A8D"/>
    <w:rsid w:val="005D6586"/>
    <w:rsid w:val="005D6F21"/>
    <w:rsid w:val="005E1628"/>
    <w:rsid w:val="005E2A53"/>
    <w:rsid w:val="005E3F1A"/>
    <w:rsid w:val="005E45E3"/>
    <w:rsid w:val="005E5F2D"/>
    <w:rsid w:val="005E618F"/>
    <w:rsid w:val="005E7A33"/>
    <w:rsid w:val="005E7D49"/>
    <w:rsid w:val="005F0C90"/>
    <w:rsid w:val="005F2A85"/>
    <w:rsid w:val="005F2AB7"/>
    <w:rsid w:val="005F2E55"/>
    <w:rsid w:val="005F323F"/>
    <w:rsid w:val="005F364F"/>
    <w:rsid w:val="005F37BB"/>
    <w:rsid w:val="005F491F"/>
    <w:rsid w:val="005F521A"/>
    <w:rsid w:val="005F64D1"/>
    <w:rsid w:val="005F6B41"/>
    <w:rsid w:val="005F7C6F"/>
    <w:rsid w:val="00600816"/>
    <w:rsid w:val="006010E5"/>
    <w:rsid w:val="006020DC"/>
    <w:rsid w:val="006028C8"/>
    <w:rsid w:val="00602B76"/>
    <w:rsid w:val="00605E66"/>
    <w:rsid w:val="0060612E"/>
    <w:rsid w:val="00607079"/>
    <w:rsid w:val="0061029E"/>
    <w:rsid w:val="006109CC"/>
    <w:rsid w:val="0061112F"/>
    <w:rsid w:val="00611D80"/>
    <w:rsid w:val="00612454"/>
    <w:rsid w:val="0061302A"/>
    <w:rsid w:val="0061411B"/>
    <w:rsid w:val="00616104"/>
    <w:rsid w:val="00617708"/>
    <w:rsid w:val="00620583"/>
    <w:rsid w:val="006224B4"/>
    <w:rsid w:val="00623D56"/>
    <w:rsid w:val="006240E5"/>
    <w:rsid w:val="00627EB0"/>
    <w:rsid w:val="00631941"/>
    <w:rsid w:val="00633DB6"/>
    <w:rsid w:val="00635A84"/>
    <w:rsid w:val="00635F47"/>
    <w:rsid w:val="0063603C"/>
    <w:rsid w:val="006364FA"/>
    <w:rsid w:val="00637AD0"/>
    <w:rsid w:val="006404CE"/>
    <w:rsid w:val="00640F3D"/>
    <w:rsid w:val="006416DC"/>
    <w:rsid w:val="0064242C"/>
    <w:rsid w:val="00642F87"/>
    <w:rsid w:val="00643079"/>
    <w:rsid w:val="006431E5"/>
    <w:rsid w:val="00643A7A"/>
    <w:rsid w:val="006451C8"/>
    <w:rsid w:val="00646191"/>
    <w:rsid w:val="0065029E"/>
    <w:rsid w:val="006508F5"/>
    <w:rsid w:val="00650ABC"/>
    <w:rsid w:val="006513B3"/>
    <w:rsid w:val="00651927"/>
    <w:rsid w:val="0065255D"/>
    <w:rsid w:val="0065326E"/>
    <w:rsid w:val="00653B42"/>
    <w:rsid w:val="0065462F"/>
    <w:rsid w:val="00654C81"/>
    <w:rsid w:val="00660606"/>
    <w:rsid w:val="00660E19"/>
    <w:rsid w:val="00661163"/>
    <w:rsid w:val="00661741"/>
    <w:rsid w:val="00662171"/>
    <w:rsid w:val="00662CD3"/>
    <w:rsid w:val="00663DB7"/>
    <w:rsid w:val="006659AC"/>
    <w:rsid w:val="0066684D"/>
    <w:rsid w:val="00666924"/>
    <w:rsid w:val="006677A1"/>
    <w:rsid w:val="00667E2B"/>
    <w:rsid w:val="0067011E"/>
    <w:rsid w:val="00670CEF"/>
    <w:rsid w:val="00671086"/>
    <w:rsid w:val="00671742"/>
    <w:rsid w:val="00673DA0"/>
    <w:rsid w:val="00674904"/>
    <w:rsid w:val="006776C9"/>
    <w:rsid w:val="00677B35"/>
    <w:rsid w:val="00681195"/>
    <w:rsid w:val="00681C60"/>
    <w:rsid w:val="00681E8E"/>
    <w:rsid w:val="00681E97"/>
    <w:rsid w:val="00682698"/>
    <w:rsid w:val="00682FBE"/>
    <w:rsid w:val="006852D9"/>
    <w:rsid w:val="006869B2"/>
    <w:rsid w:val="00686C08"/>
    <w:rsid w:val="00692855"/>
    <w:rsid w:val="00693802"/>
    <w:rsid w:val="00693FFD"/>
    <w:rsid w:val="006950D6"/>
    <w:rsid w:val="006951F6"/>
    <w:rsid w:val="006955C3"/>
    <w:rsid w:val="0069596E"/>
    <w:rsid w:val="006969AF"/>
    <w:rsid w:val="0069744C"/>
    <w:rsid w:val="006A07AE"/>
    <w:rsid w:val="006A2192"/>
    <w:rsid w:val="006A336F"/>
    <w:rsid w:val="006A3A06"/>
    <w:rsid w:val="006A6962"/>
    <w:rsid w:val="006A6BF5"/>
    <w:rsid w:val="006A6F31"/>
    <w:rsid w:val="006A7536"/>
    <w:rsid w:val="006A7AB5"/>
    <w:rsid w:val="006A7E24"/>
    <w:rsid w:val="006A7E49"/>
    <w:rsid w:val="006B0071"/>
    <w:rsid w:val="006B019D"/>
    <w:rsid w:val="006B0EB9"/>
    <w:rsid w:val="006B1043"/>
    <w:rsid w:val="006B15BA"/>
    <w:rsid w:val="006B4018"/>
    <w:rsid w:val="006B40FD"/>
    <w:rsid w:val="006B5DAF"/>
    <w:rsid w:val="006B66FE"/>
    <w:rsid w:val="006B6F8B"/>
    <w:rsid w:val="006C1264"/>
    <w:rsid w:val="006C15AC"/>
    <w:rsid w:val="006C1BE2"/>
    <w:rsid w:val="006C1F6A"/>
    <w:rsid w:val="006C22A0"/>
    <w:rsid w:val="006C250F"/>
    <w:rsid w:val="006C2522"/>
    <w:rsid w:val="006C4522"/>
    <w:rsid w:val="006C4EC6"/>
    <w:rsid w:val="006C51B2"/>
    <w:rsid w:val="006C72D8"/>
    <w:rsid w:val="006C7BF0"/>
    <w:rsid w:val="006C7C77"/>
    <w:rsid w:val="006D1680"/>
    <w:rsid w:val="006D18D6"/>
    <w:rsid w:val="006D3043"/>
    <w:rsid w:val="006D4811"/>
    <w:rsid w:val="006D5842"/>
    <w:rsid w:val="006D7848"/>
    <w:rsid w:val="006E0451"/>
    <w:rsid w:val="006E17A6"/>
    <w:rsid w:val="006E201B"/>
    <w:rsid w:val="006E2D5F"/>
    <w:rsid w:val="006E2E83"/>
    <w:rsid w:val="006E36A6"/>
    <w:rsid w:val="006E3E6A"/>
    <w:rsid w:val="006E456D"/>
    <w:rsid w:val="006E5896"/>
    <w:rsid w:val="006E69CD"/>
    <w:rsid w:val="006E6A49"/>
    <w:rsid w:val="006E6CCD"/>
    <w:rsid w:val="006E7035"/>
    <w:rsid w:val="006F01E8"/>
    <w:rsid w:val="006F0724"/>
    <w:rsid w:val="006F0D85"/>
    <w:rsid w:val="006F1BD2"/>
    <w:rsid w:val="006F2834"/>
    <w:rsid w:val="006F2845"/>
    <w:rsid w:val="006F2F8F"/>
    <w:rsid w:val="006F4531"/>
    <w:rsid w:val="006F6C6A"/>
    <w:rsid w:val="00701922"/>
    <w:rsid w:val="00702195"/>
    <w:rsid w:val="007025EF"/>
    <w:rsid w:val="00704642"/>
    <w:rsid w:val="00705347"/>
    <w:rsid w:val="0070669B"/>
    <w:rsid w:val="00710CB9"/>
    <w:rsid w:val="007114CE"/>
    <w:rsid w:val="007114E1"/>
    <w:rsid w:val="00711927"/>
    <w:rsid w:val="0071376C"/>
    <w:rsid w:val="0071382B"/>
    <w:rsid w:val="00714BA7"/>
    <w:rsid w:val="00715C69"/>
    <w:rsid w:val="00717248"/>
    <w:rsid w:val="0071757F"/>
    <w:rsid w:val="00720F0B"/>
    <w:rsid w:val="00721112"/>
    <w:rsid w:val="00721EDD"/>
    <w:rsid w:val="007228ED"/>
    <w:rsid w:val="00724CD1"/>
    <w:rsid w:val="00724EA7"/>
    <w:rsid w:val="00725BE5"/>
    <w:rsid w:val="00725ED2"/>
    <w:rsid w:val="007260FA"/>
    <w:rsid w:val="00726A1F"/>
    <w:rsid w:val="00726EC2"/>
    <w:rsid w:val="00730185"/>
    <w:rsid w:val="00730A06"/>
    <w:rsid w:val="0073101C"/>
    <w:rsid w:val="0073187E"/>
    <w:rsid w:val="007328F4"/>
    <w:rsid w:val="00732CF9"/>
    <w:rsid w:val="007332CD"/>
    <w:rsid w:val="0073361B"/>
    <w:rsid w:val="00735881"/>
    <w:rsid w:val="00736624"/>
    <w:rsid w:val="00736699"/>
    <w:rsid w:val="00736BCE"/>
    <w:rsid w:val="007375C6"/>
    <w:rsid w:val="00740EBB"/>
    <w:rsid w:val="007436EA"/>
    <w:rsid w:val="007461A6"/>
    <w:rsid w:val="00750F90"/>
    <w:rsid w:val="007526DF"/>
    <w:rsid w:val="00752AC7"/>
    <w:rsid w:val="00752F15"/>
    <w:rsid w:val="00753CE8"/>
    <w:rsid w:val="00754191"/>
    <w:rsid w:val="00755828"/>
    <w:rsid w:val="00756264"/>
    <w:rsid w:val="00756B1B"/>
    <w:rsid w:val="0076083B"/>
    <w:rsid w:val="00765349"/>
    <w:rsid w:val="00765697"/>
    <w:rsid w:val="00765D15"/>
    <w:rsid w:val="00766B22"/>
    <w:rsid w:val="0077024D"/>
    <w:rsid w:val="00770DE2"/>
    <w:rsid w:val="00770FE8"/>
    <w:rsid w:val="00771506"/>
    <w:rsid w:val="00771A46"/>
    <w:rsid w:val="00773012"/>
    <w:rsid w:val="00773035"/>
    <w:rsid w:val="007738D2"/>
    <w:rsid w:val="00774206"/>
    <w:rsid w:val="00775F63"/>
    <w:rsid w:val="007765BD"/>
    <w:rsid w:val="007838D8"/>
    <w:rsid w:val="00783FC1"/>
    <w:rsid w:val="007840E4"/>
    <w:rsid w:val="00785414"/>
    <w:rsid w:val="0078720F"/>
    <w:rsid w:val="00790769"/>
    <w:rsid w:val="00790A5E"/>
    <w:rsid w:val="0079495A"/>
    <w:rsid w:val="00795909"/>
    <w:rsid w:val="007A10C1"/>
    <w:rsid w:val="007A1CFD"/>
    <w:rsid w:val="007A239F"/>
    <w:rsid w:val="007A3EDE"/>
    <w:rsid w:val="007A62D8"/>
    <w:rsid w:val="007B0187"/>
    <w:rsid w:val="007B21D3"/>
    <w:rsid w:val="007B2672"/>
    <w:rsid w:val="007B33F9"/>
    <w:rsid w:val="007B467D"/>
    <w:rsid w:val="007B55E0"/>
    <w:rsid w:val="007B61C9"/>
    <w:rsid w:val="007B667D"/>
    <w:rsid w:val="007B6B7D"/>
    <w:rsid w:val="007C0082"/>
    <w:rsid w:val="007C0E57"/>
    <w:rsid w:val="007C1820"/>
    <w:rsid w:val="007C31FF"/>
    <w:rsid w:val="007C4D1C"/>
    <w:rsid w:val="007C56FC"/>
    <w:rsid w:val="007C6825"/>
    <w:rsid w:val="007C739B"/>
    <w:rsid w:val="007D00C8"/>
    <w:rsid w:val="007D1977"/>
    <w:rsid w:val="007D1F5F"/>
    <w:rsid w:val="007D2723"/>
    <w:rsid w:val="007D2A4A"/>
    <w:rsid w:val="007D30E9"/>
    <w:rsid w:val="007D3A55"/>
    <w:rsid w:val="007D52E6"/>
    <w:rsid w:val="007D5AE7"/>
    <w:rsid w:val="007D68E9"/>
    <w:rsid w:val="007E0C58"/>
    <w:rsid w:val="007E271E"/>
    <w:rsid w:val="007E294E"/>
    <w:rsid w:val="007E3762"/>
    <w:rsid w:val="007E46D3"/>
    <w:rsid w:val="007E5312"/>
    <w:rsid w:val="007E5B6E"/>
    <w:rsid w:val="007E5D09"/>
    <w:rsid w:val="007E68F8"/>
    <w:rsid w:val="007F135D"/>
    <w:rsid w:val="007F44F6"/>
    <w:rsid w:val="007F480B"/>
    <w:rsid w:val="007F494A"/>
    <w:rsid w:val="008014F6"/>
    <w:rsid w:val="008022F0"/>
    <w:rsid w:val="00803268"/>
    <w:rsid w:val="008038B5"/>
    <w:rsid w:val="0080622A"/>
    <w:rsid w:val="00810BF9"/>
    <w:rsid w:val="00810F68"/>
    <w:rsid w:val="0081117A"/>
    <w:rsid w:val="00814464"/>
    <w:rsid w:val="00814E31"/>
    <w:rsid w:val="00815645"/>
    <w:rsid w:val="00815661"/>
    <w:rsid w:val="00816398"/>
    <w:rsid w:val="00816607"/>
    <w:rsid w:val="008172C8"/>
    <w:rsid w:val="008177EF"/>
    <w:rsid w:val="0082242D"/>
    <w:rsid w:val="0082467C"/>
    <w:rsid w:val="00824E3E"/>
    <w:rsid w:val="00825B83"/>
    <w:rsid w:val="00826F38"/>
    <w:rsid w:val="0082713E"/>
    <w:rsid w:val="0082734D"/>
    <w:rsid w:val="008276CB"/>
    <w:rsid w:val="0083038A"/>
    <w:rsid w:val="0083176E"/>
    <w:rsid w:val="00831C66"/>
    <w:rsid w:val="008334E8"/>
    <w:rsid w:val="00835D48"/>
    <w:rsid w:val="00840D9A"/>
    <w:rsid w:val="00842C6B"/>
    <w:rsid w:val="0084374B"/>
    <w:rsid w:val="00843C70"/>
    <w:rsid w:val="00843D89"/>
    <w:rsid w:val="0084412D"/>
    <w:rsid w:val="00847CA4"/>
    <w:rsid w:val="00847E13"/>
    <w:rsid w:val="0085011D"/>
    <w:rsid w:val="00850A49"/>
    <w:rsid w:val="00850A76"/>
    <w:rsid w:val="00850FB0"/>
    <w:rsid w:val="008526AA"/>
    <w:rsid w:val="0085295D"/>
    <w:rsid w:val="00853673"/>
    <w:rsid w:val="00854087"/>
    <w:rsid w:val="0085409E"/>
    <w:rsid w:val="00855C82"/>
    <w:rsid w:val="00856DA5"/>
    <w:rsid w:val="00857FF2"/>
    <w:rsid w:val="00862723"/>
    <w:rsid w:val="00862F15"/>
    <w:rsid w:val="008633BB"/>
    <w:rsid w:val="00864FE1"/>
    <w:rsid w:val="0086641F"/>
    <w:rsid w:val="00866F12"/>
    <w:rsid w:val="00867417"/>
    <w:rsid w:val="008704D9"/>
    <w:rsid w:val="008711A1"/>
    <w:rsid w:val="00872C34"/>
    <w:rsid w:val="00873A7A"/>
    <w:rsid w:val="008821B3"/>
    <w:rsid w:val="0088248F"/>
    <w:rsid w:val="008827E8"/>
    <w:rsid w:val="00883165"/>
    <w:rsid w:val="00884FB9"/>
    <w:rsid w:val="00885BB6"/>
    <w:rsid w:val="00885E85"/>
    <w:rsid w:val="008903B8"/>
    <w:rsid w:val="008905CF"/>
    <w:rsid w:val="00890EF2"/>
    <w:rsid w:val="00891515"/>
    <w:rsid w:val="008917EC"/>
    <w:rsid w:val="00892FE2"/>
    <w:rsid w:val="00893A21"/>
    <w:rsid w:val="00895C4A"/>
    <w:rsid w:val="0089603D"/>
    <w:rsid w:val="008962DF"/>
    <w:rsid w:val="008A0DE8"/>
    <w:rsid w:val="008A105F"/>
    <w:rsid w:val="008A25CF"/>
    <w:rsid w:val="008A4807"/>
    <w:rsid w:val="008A53F9"/>
    <w:rsid w:val="008A6B03"/>
    <w:rsid w:val="008A6BD3"/>
    <w:rsid w:val="008A7089"/>
    <w:rsid w:val="008A7A7F"/>
    <w:rsid w:val="008A7FE4"/>
    <w:rsid w:val="008B02B8"/>
    <w:rsid w:val="008B0412"/>
    <w:rsid w:val="008B095C"/>
    <w:rsid w:val="008B2933"/>
    <w:rsid w:val="008B2CA2"/>
    <w:rsid w:val="008B2F96"/>
    <w:rsid w:val="008B359C"/>
    <w:rsid w:val="008B50D5"/>
    <w:rsid w:val="008B5FFD"/>
    <w:rsid w:val="008B7688"/>
    <w:rsid w:val="008C0842"/>
    <w:rsid w:val="008C4278"/>
    <w:rsid w:val="008C4CB1"/>
    <w:rsid w:val="008C51F0"/>
    <w:rsid w:val="008C61C1"/>
    <w:rsid w:val="008C6E25"/>
    <w:rsid w:val="008D0189"/>
    <w:rsid w:val="008D0E3C"/>
    <w:rsid w:val="008D1A83"/>
    <w:rsid w:val="008D1CD1"/>
    <w:rsid w:val="008D2166"/>
    <w:rsid w:val="008D2340"/>
    <w:rsid w:val="008D314C"/>
    <w:rsid w:val="008D5200"/>
    <w:rsid w:val="008D5418"/>
    <w:rsid w:val="008D5986"/>
    <w:rsid w:val="008D725F"/>
    <w:rsid w:val="008D72E3"/>
    <w:rsid w:val="008D7B6D"/>
    <w:rsid w:val="008E090F"/>
    <w:rsid w:val="008E5321"/>
    <w:rsid w:val="008E6498"/>
    <w:rsid w:val="008F16EC"/>
    <w:rsid w:val="008F4250"/>
    <w:rsid w:val="008F440D"/>
    <w:rsid w:val="008F454E"/>
    <w:rsid w:val="008F5B09"/>
    <w:rsid w:val="008F63B1"/>
    <w:rsid w:val="00900907"/>
    <w:rsid w:val="00901152"/>
    <w:rsid w:val="009040CB"/>
    <w:rsid w:val="00904BD2"/>
    <w:rsid w:val="00904D37"/>
    <w:rsid w:val="00904E67"/>
    <w:rsid w:val="00906266"/>
    <w:rsid w:val="00907795"/>
    <w:rsid w:val="00911C8F"/>
    <w:rsid w:val="00912ECA"/>
    <w:rsid w:val="00913081"/>
    <w:rsid w:val="009130D7"/>
    <w:rsid w:val="0091390F"/>
    <w:rsid w:val="009145FD"/>
    <w:rsid w:val="00914BB7"/>
    <w:rsid w:val="00915287"/>
    <w:rsid w:val="00916171"/>
    <w:rsid w:val="009178E3"/>
    <w:rsid w:val="00920C26"/>
    <w:rsid w:val="00922B8D"/>
    <w:rsid w:val="009233FF"/>
    <w:rsid w:val="00923D3A"/>
    <w:rsid w:val="00925951"/>
    <w:rsid w:val="009263F2"/>
    <w:rsid w:val="009271AF"/>
    <w:rsid w:val="00927C30"/>
    <w:rsid w:val="00927EAC"/>
    <w:rsid w:val="009343D2"/>
    <w:rsid w:val="0093612F"/>
    <w:rsid w:val="009361A4"/>
    <w:rsid w:val="0093666A"/>
    <w:rsid w:val="00936B7B"/>
    <w:rsid w:val="00937163"/>
    <w:rsid w:val="0094039E"/>
    <w:rsid w:val="0094157D"/>
    <w:rsid w:val="00941F40"/>
    <w:rsid w:val="00942340"/>
    <w:rsid w:val="00942343"/>
    <w:rsid w:val="00943981"/>
    <w:rsid w:val="009451ED"/>
    <w:rsid w:val="00946A61"/>
    <w:rsid w:val="0095164A"/>
    <w:rsid w:val="00952837"/>
    <w:rsid w:val="00952A17"/>
    <w:rsid w:val="009557EE"/>
    <w:rsid w:val="009572FC"/>
    <w:rsid w:val="009602E1"/>
    <w:rsid w:val="00960602"/>
    <w:rsid w:val="00960CF2"/>
    <w:rsid w:val="00961C4D"/>
    <w:rsid w:val="00962BB1"/>
    <w:rsid w:val="009632FD"/>
    <w:rsid w:val="009637B8"/>
    <w:rsid w:val="0096443B"/>
    <w:rsid w:val="00964AA7"/>
    <w:rsid w:val="00964AD6"/>
    <w:rsid w:val="00964D0E"/>
    <w:rsid w:val="009662AD"/>
    <w:rsid w:val="009667FA"/>
    <w:rsid w:val="00970280"/>
    <w:rsid w:val="0097101D"/>
    <w:rsid w:val="00972763"/>
    <w:rsid w:val="00972A9D"/>
    <w:rsid w:val="00972D37"/>
    <w:rsid w:val="009734F7"/>
    <w:rsid w:val="00974FEA"/>
    <w:rsid w:val="00975446"/>
    <w:rsid w:val="009754FC"/>
    <w:rsid w:val="00975BA8"/>
    <w:rsid w:val="00976AD5"/>
    <w:rsid w:val="0098046E"/>
    <w:rsid w:val="00981AAE"/>
    <w:rsid w:val="00982CF9"/>
    <w:rsid w:val="00983648"/>
    <w:rsid w:val="00985885"/>
    <w:rsid w:val="009862AA"/>
    <w:rsid w:val="00986417"/>
    <w:rsid w:val="00986966"/>
    <w:rsid w:val="009870D4"/>
    <w:rsid w:val="00987E5E"/>
    <w:rsid w:val="00991AF1"/>
    <w:rsid w:val="00994058"/>
    <w:rsid w:val="00994CAE"/>
    <w:rsid w:val="009965AB"/>
    <w:rsid w:val="009977C3"/>
    <w:rsid w:val="009978C4"/>
    <w:rsid w:val="009A1681"/>
    <w:rsid w:val="009A2C2C"/>
    <w:rsid w:val="009A33E8"/>
    <w:rsid w:val="009A3BED"/>
    <w:rsid w:val="009A4155"/>
    <w:rsid w:val="009A4834"/>
    <w:rsid w:val="009A7B66"/>
    <w:rsid w:val="009B0878"/>
    <w:rsid w:val="009B09BE"/>
    <w:rsid w:val="009B16E3"/>
    <w:rsid w:val="009B2097"/>
    <w:rsid w:val="009B3291"/>
    <w:rsid w:val="009B45B7"/>
    <w:rsid w:val="009B6A2D"/>
    <w:rsid w:val="009C1019"/>
    <w:rsid w:val="009C1903"/>
    <w:rsid w:val="009C1D20"/>
    <w:rsid w:val="009C2F42"/>
    <w:rsid w:val="009C3056"/>
    <w:rsid w:val="009C3607"/>
    <w:rsid w:val="009C3CC2"/>
    <w:rsid w:val="009C3DAC"/>
    <w:rsid w:val="009C3E10"/>
    <w:rsid w:val="009C5182"/>
    <w:rsid w:val="009C5221"/>
    <w:rsid w:val="009C5BAA"/>
    <w:rsid w:val="009C679D"/>
    <w:rsid w:val="009D0598"/>
    <w:rsid w:val="009D430D"/>
    <w:rsid w:val="009D4393"/>
    <w:rsid w:val="009D59D2"/>
    <w:rsid w:val="009D5D47"/>
    <w:rsid w:val="009D5FC9"/>
    <w:rsid w:val="009D6300"/>
    <w:rsid w:val="009D6799"/>
    <w:rsid w:val="009D7689"/>
    <w:rsid w:val="009D7B82"/>
    <w:rsid w:val="009E0E79"/>
    <w:rsid w:val="009E1354"/>
    <w:rsid w:val="009E1362"/>
    <w:rsid w:val="009E1625"/>
    <w:rsid w:val="009E173B"/>
    <w:rsid w:val="009E1B77"/>
    <w:rsid w:val="009E3B15"/>
    <w:rsid w:val="009E3E5B"/>
    <w:rsid w:val="009E4C32"/>
    <w:rsid w:val="009E4E51"/>
    <w:rsid w:val="009E4F8F"/>
    <w:rsid w:val="009E7175"/>
    <w:rsid w:val="009F1E43"/>
    <w:rsid w:val="009F4B6D"/>
    <w:rsid w:val="009F5928"/>
    <w:rsid w:val="009F658E"/>
    <w:rsid w:val="009F6C9E"/>
    <w:rsid w:val="009F6EF8"/>
    <w:rsid w:val="00A01EAC"/>
    <w:rsid w:val="00A02877"/>
    <w:rsid w:val="00A035EF"/>
    <w:rsid w:val="00A04709"/>
    <w:rsid w:val="00A0631D"/>
    <w:rsid w:val="00A07FCD"/>
    <w:rsid w:val="00A10AB9"/>
    <w:rsid w:val="00A11A00"/>
    <w:rsid w:val="00A136FE"/>
    <w:rsid w:val="00A1561A"/>
    <w:rsid w:val="00A15A8E"/>
    <w:rsid w:val="00A1690D"/>
    <w:rsid w:val="00A16D66"/>
    <w:rsid w:val="00A17205"/>
    <w:rsid w:val="00A178E2"/>
    <w:rsid w:val="00A20F49"/>
    <w:rsid w:val="00A21F38"/>
    <w:rsid w:val="00A23185"/>
    <w:rsid w:val="00A26742"/>
    <w:rsid w:val="00A26AB1"/>
    <w:rsid w:val="00A26EC3"/>
    <w:rsid w:val="00A30ECB"/>
    <w:rsid w:val="00A312C9"/>
    <w:rsid w:val="00A32216"/>
    <w:rsid w:val="00A32257"/>
    <w:rsid w:val="00A323BF"/>
    <w:rsid w:val="00A32A7D"/>
    <w:rsid w:val="00A3309C"/>
    <w:rsid w:val="00A33F89"/>
    <w:rsid w:val="00A34591"/>
    <w:rsid w:val="00A348A0"/>
    <w:rsid w:val="00A35E2B"/>
    <w:rsid w:val="00A3611D"/>
    <w:rsid w:val="00A36D7D"/>
    <w:rsid w:val="00A37660"/>
    <w:rsid w:val="00A37A7A"/>
    <w:rsid w:val="00A37F2A"/>
    <w:rsid w:val="00A40013"/>
    <w:rsid w:val="00A40474"/>
    <w:rsid w:val="00A405B0"/>
    <w:rsid w:val="00A43096"/>
    <w:rsid w:val="00A44111"/>
    <w:rsid w:val="00A5169A"/>
    <w:rsid w:val="00A541F0"/>
    <w:rsid w:val="00A54782"/>
    <w:rsid w:val="00A54BDA"/>
    <w:rsid w:val="00A54C47"/>
    <w:rsid w:val="00A5594A"/>
    <w:rsid w:val="00A561B5"/>
    <w:rsid w:val="00A57BD4"/>
    <w:rsid w:val="00A60292"/>
    <w:rsid w:val="00A610B4"/>
    <w:rsid w:val="00A6120F"/>
    <w:rsid w:val="00A61F1A"/>
    <w:rsid w:val="00A627E7"/>
    <w:rsid w:val="00A62BD5"/>
    <w:rsid w:val="00A63510"/>
    <w:rsid w:val="00A63832"/>
    <w:rsid w:val="00A66FC8"/>
    <w:rsid w:val="00A70DD2"/>
    <w:rsid w:val="00A72F99"/>
    <w:rsid w:val="00A7385D"/>
    <w:rsid w:val="00A74AB1"/>
    <w:rsid w:val="00A74F73"/>
    <w:rsid w:val="00A75B8A"/>
    <w:rsid w:val="00A800FA"/>
    <w:rsid w:val="00A810BA"/>
    <w:rsid w:val="00A82750"/>
    <w:rsid w:val="00A8289E"/>
    <w:rsid w:val="00A82CDC"/>
    <w:rsid w:val="00A83490"/>
    <w:rsid w:val="00A83827"/>
    <w:rsid w:val="00A85192"/>
    <w:rsid w:val="00A8667F"/>
    <w:rsid w:val="00A86E70"/>
    <w:rsid w:val="00A875B8"/>
    <w:rsid w:val="00A91B17"/>
    <w:rsid w:val="00A931BC"/>
    <w:rsid w:val="00A94F25"/>
    <w:rsid w:val="00A95B24"/>
    <w:rsid w:val="00A95E8D"/>
    <w:rsid w:val="00A95F21"/>
    <w:rsid w:val="00A96258"/>
    <w:rsid w:val="00A9686C"/>
    <w:rsid w:val="00A96B5E"/>
    <w:rsid w:val="00AA0D47"/>
    <w:rsid w:val="00AA1162"/>
    <w:rsid w:val="00AA243D"/>
    <w:rsid w:val="00AA31D1"/>
    <w:rsid w:val="00AA31EF"/>
    <w:rsid w:val="00AA63E3"/>
    <w:rsid w:val="00AA691D"/>
    <w:rsid w:val="00AA78AD"/>
    <w:rsid w:val="00AB02F8"/>
    <w:rsid w:val="00AB0788"/>
    <w:rsid w:val="00AB07C9"/>
    <w:rsid w:val="00AB08D0"/>
    <w:rsid w:val="00AB23AC"/>
    <w:rsid w:val="00AB4FBB"/>
    <w:rsid w:val="00AB55F6"/>
    <w:rsid w:val="00AB63C4"/>
    <w:rsid w:val="00AC0A1F"/>
    <w:rsid w:val="00AC0B6E"/>
    <w:rsid w:val="00AC1B7B"/>
    <w:rsid w:val="00AC41A2"/>
    <w:rsid w:val="00AC59F0"/>
    <w:rsid w:val="00AC5BBB"/>
    <w:rsid w:val="00AC5BC2"/>
    <w:rsid w:val="00AC6907"/>
    <w:rsid w:val="00AC6965"/>
    <w:rsid w:val="00AC76E2"/>
    <w:rsid w:val="00AD0B6B"/>
    <w:rsid w:val="00AD1A37"/>
    <w:rsid w:val="00AD372E"/>
    <w:rsid w:val="00AD38D9"/>
    <w:rsid w:val="00AD4841"/>
    <w:rsid w:val="00AD596F"/>
    <w:rsid w:val="00AD6676"/>
    <w:rsid w:val="00AE1D9E"/>
    <w:rsid w:val="00AE310A"/>
    <w:rsid w:val="00AE3586"/>
    <w:rsid w:val="00AE4071"/>
    <w:rsid w:val="00AE6408"/>
    <w:rsid w:val="00AE6481"/>
    <w:rsid w:val="00AE6C81"/>
    <w:rsid w:val="00AE6ED4"/>
    <w:rsid w:val="00AE6FB3"/>
    <w:rsid w:val="00AE7820"/>
    <w:rsid w:val="00AE7A80"/>
    <w:rsid w:val="00AF0770"/>
    <w:rsid w:val="00AF1451"/>
    <w:rsid w:val="00AF2156"/>
    <w:rsid w:val="00AF3CD1"/>
    <w:rsid w:val="00AF4A68"/>
    <w:rsid w:val="00AF5642"/>
    <w:rsid w:val="00AF5920"/>
    <w:rsid w:val="00B01198"/>
    <w:rsid w:val="00B01561"/>
    <w:rsid w:val="00B021D7"/>
    <w:rsid w:val="00B04B6E"/>
    <w:rsid w:val="00B11709"/>
    <w:rsid w:val="00B11EB2"/>
    <w:rsid w:val="00B13DC6"/>
    <w:rsid w:val="00B154CD"/>
    <w:rsid w:val="00B16498"/>
    <w:rsid w:val="00B20B62"/>
    <w:rsid w:val="00B220F3"/>
    <w:rsid w:val="00B24081"/>
    <w:rsid w:val="00B2421E"/>
    <w:rsid w:val="00B2430A"/>
    <w:rsid w:val="00B24BE2"/>
    <w:rsid w:val="00B24F8C"/>
    <w:rsid w:val="00B26453"/>
    <w:rsid w:val="00B2708B"/>
    <w:rsid w:val="00B304E2"/>
    <w:rsid w:val="00B305C3"/>
    <w:rsid w:val="00B31EE9"/>
    <w:rsid w:val="00B33EB7"/>
    <w:rsid w:val="00B36F4C"/>
    <w:rsid w:val="00B3757D"/>
    <w:rsid w:val="00B40403"/>
    <w:rsid w:val="00B4064C"/>
    <w:rsid w:val="00B4143D"/>
    <w:rsid w:val="00B41672"/>
    <w:rsid w:val="00B4255A"/>
    <w:rsid w:val="00B42B9C"/>
    <w:rsid w:val="00B42FC9"/>
    <w:rsid w:val="00B4447B"/>
    <w:rsid w:val="00B44C4B"/>
    <w:rsid w:val="00B460CF"/>
    <w:rsid w:val="00B50748"/>
    <w:rsid w:val="00B51196"/>
    <w:rsid w:val="00B52167"/>
    <w:rsid w:val="00B53E2D"/>
    <w:rsid w:val="00B54D36"/>
    <w:rsid w:val="00B54FE9"/>
    <w:rsid w:val="00B61015"/>
    <w:rsid w:val="00B617CE"/>
    <w:rsid w:val="00B6362C"/>
    <w:rsid w:val="00B63BD0"/>
    <w:rsid w:val="00B66477"/>
    <w:rsid w:val="00B703EF"/>
    <w:rsid w:val="00B70C57"/>
    <w:rsid w:val="00B72873"/>
    <w:rsid w:val="00B73850"/>
    <w:rsid w:val="00B76F55"/>
    <w:rsid w:val="00B8035E"/>
    <w:rsid w:val="00B80BD6"/>
    <w:rsid w:val="00B821BA"/>
    <w:rsid w:val="00B828F4"/>
    <w:rsid w:val="00B8319C"/>
    <w:rsid w:val="00B849F1"/>
    <w:rsid w:val="00B85625"/>
    <w:rsid w:val="00B86126"/>
    <w:rsid w:val="00B86B4D"/>
    <w:rsid w:val="00B87128"/>
    <w:rsid w:val="00B87727"/>
    <w:rsid w:val="00B90556"/>
    <w:rsid w:val="00B90C65"/>
    <w:rsid w:val="00B92F52"/>
    <w:rsid w:val="00B948CE"/>
    <w:rsid w:val="00B95757"/>
    <w:rsid w:val="00B95D9A"/>
    <w:rsid w:val="00B96518"/>
    <w:rsid w:val="00B97C73"/>
    <w:rsid w:val="00BA054E"/>
    <w:rsid w:val="00BA0807"/>
    <w:rsid w:val="00BA1018"/>
    <w:rsid w:val="00BA3FB2"/>
    <w:rsid w:val="00BA494C"/>
    <w:rsid w:val="00BA4C3B"/>
    <w:rsid w:val="00BA758F"/>
    <w:rsid w:val="00BB0B50"/>
    <w:rsid w:val="00BB27C2"/>
    <w:rsid w:val="00BB3CF4"/>
    <w:rsid w:val="00BB4938"/>
    <w:rsid w:val="00BB4CF1"/>
    <w:rsid w:val="00BB563A"/>
    <w:rsid w:val="00BB57B8"/>
    <w:rsid w:val="00BB5A22"/>
    <w:rsid w:val="00BB698B"/>
    <w:rsid w:val="00BB704F"/>
    <w:rsid w:val="00BC025E"/>
    <w:rsid w:val="00BC1D2B"/>
    <w:rsid w:val="00BC5A2B"/>
    <w:rsid w:val="00BC6538"/>
    <w:rsid w:val="00BC6C51"/>
    <w:rsid w:val="00BC758F"/>
    <w:rsid w:val="00BD0AE0"/>
    <w:rsid w:val="00BD6A69"/>
    <w:rsid w:val="00BD7337"/>
    <w:rsid w:val="00BD7F45"/>
    <w:rsid w:val="00BE16F0"/>
    <w:rsid w:val="00BE176E"/>
    <w:rsid w:val="00BE1AC3"/>
    <w:rsid w:val="00BE25CE"/>
    <w:rsid w:val="00BE2CEC"/>
    <w:rsid w:val="00BE3E3A"/>
    <w:rsid w:val="00BE3E9C"/>
    <w:rsid w:val="00BE54B4"/>
    <w:rsid w:val="00BE5E1E"/>
    <w:rsid w:val="00BE6145"/>
    <w:rsid w:val="00BE6900"/>
    <w:rsid w:val="00BF1BED"/>
    <w:rsid w:val="00BF2603"/>
    <w:rsid w:val="00BF2804"/>
    <w:rsid w:val="00BF3835"/>
    <w:rsid w:val="00BF45C9"/>
    <w:rsid w:val="00BF6A25"/>
    <w:rsid w:val="00BF7987"/>
    <w:rsid w:val="00C0044C"/>
    <w:rsid w:val="00C0201E"/>
    <w:rsid w:val="00C03233"/>
    <w:rsid w:val="00C04365"/>
    <w:rsid w:val="00C063E9"/>
    <w:rsid w:val="00C06E4B"/>
    <w:rsid w:val="00C112EF"/>
    <w:rsid w:val="00C132AF"/>
    <w:rsid w:val="00C13CCB"/>
    <w:rsid w:val="00C156B6"/>
    <w:rsid w:val="00C171C8"/>
    <w:rsid w:val="00C2013E"/>
    <w:rsid w:val="00C20400"/>
    <w:rsid w:val="00C21E1F"/>
    <w:rsid w:val="00C22177"/>
    <w:rsid w:val="00C24560"/>
    <w:rsid w:val="00C26806"/>
    <w:rsid w:val="00C27CF6"/>
    <w:rsid w:val="00C31C21"/>
    <w:rsid w:val="00C3243D"/>
    <w:rsid w:val="00C3265F"/>
    <w:rsid w:val="00C33796"/>
    <w:rsid w:val="00C33999"/>
    <w:rsid w:val="00C3416C"/>
    <w:rsid w:val="00C35E8F"/>
    <w:rsid w:val="00C37132"/>
    <w:rsid w:val="00C37CF8"/>
    <w:rsid w:val="00C4084A"/>
    <w:rsid w:val="00C40E4E"/>
    <w:rsid w:val="00C41397"/>
    <w:rsid w:val="00C41A85"/>
    <w:rsid w:val="00C428A3"/>
    <w:rsid w:val="00C44C7A"/>
    <w:rsid w:val="00C46891"/>
    <w:rsid w:val="00C46D31"/>
    <w:rsid w:val="00C46F05"/>
    <w:rsid w:val="00C47EC7"/>
    <w:rsid w:val="00C50517"/>
    <w:rsid w:val="00C50E29"/>
    <w:rsid w:val="00C51876"/>
    <w:rsid w:val="00C52299"/>
    <w:rsid w:val="00C545C7"/>
    <w:rsid w:val="00C54A22"/>
    <w:rsid w:val="00C558F8"/>
    <w:rsid w:val="00C562CE"/>
    <w:rsid w:val="00C563D2"/>
    <w:rsid w:val="00C57639"/>
    <w:rsid w:val="00C61C98"/>
    <w:rsid w:val="00C620BB"/>
    <w:rsid w:val="00C6253C"/>
    <w:rsid w:val="00C628A6"/>
    <w:rsid w:val="00C65C10"/>
    <w:rsid w:val="00C66916"/>
    <w:rsid w:val="00C67771"/>
    <w:rsid w:val="00C67C0F"/>
    <w:rsid w:val="00C67D4F"/>
    <w:rsid w:val="00C70077"/>
    <w:rsid w:val="00C70CF4"/>
    <w:rsid w:val="00C7156C"/>
    <w:rsid w:val="00C75FD5"/>
    <w:rsid w:val="00C828CD"/>
    <w:rsid w:val="00C829CB"/>
    <w:rsid w:val="00C83C20"/>
    <w:rsid w:val="00C84201"/>
    <w:rsid w:val="00C873FD"/>
    <w:rsid w:val="00C87F6D"/>
    <w:rsid w:val="00C907D7"/>
    <w:rsid w:val="00C909C0"/>
    <w:rsid w:val="00C912AC"/>
    <w:rsid w:val="00C936D3"/>
    <w:rsid w:val="00C9382F"/>
    <w:rsid w:val="00C94D47"/>
    <w:rsid w:val="00C94DA1"/>
    <w:rsid w:val="00C95B70"/>
    <w:rsid w:val="00C96D8C"/>
    <w:rsid w:val="00CA0504"/>
    <w:rsid w:val="00CA0996"/>
    <w:rsid w:val="00CA32DD"/>
    <w:rsid w:val="00CA37D5"/>
    <w:rsid w:val="00CA393C"/>
    <w:rsid w:val="00CA39E0"/>
    <w:rsid w:val="00CA4781"/>
    <w:rsid w:val="00CA4C05"/>
    <w:rsid w:val="00CA51D4"/>
    <w:rsid w:val="00CA6143"/>
    <w:rsid w:val="00CA756A"/>
    <w:rsid w:val="00CB0083"/>
    <w:rsid w:val="00CB130C"/>
    <w:rsid w:val="00CB13D0"/>
    <w:rsid w:val="00CB23AA"/>
    <w:rsid w:val="00CC0444"/>
    <w:rsid w:val="00CC3812"/>
    <w:rsid w:val="00CC3B94"/>
    <w:rsid w:val="00CC526D"/>
    <w:rsid w:val="00CC69D1"/>
    <w:rsid w:val="00CD03C0"/>
    <w:rsid w:val="00CD1DF7"/>
    <w:rsid w:val="00CD244D"/>
    <w:rsid w:val="00CD43CE"/>
    <w:rsid w:val="00CD4422"/>
    <w:rsid w:val="00CD4661"/>
    <w:rsid w:val="00CD4C48"/>
    <w:rsid w:val="00CD5A44"/>
    <w:rsid w:val="00CD5CCE"/>
    <w:rsid w:val="00CD5F09"/>
    <w:rsid w:val="00CD759F"/>
    <w:rsid w:val="00CD7873"/>
    <w:rsid w:val="00CE239C"/>
    <w:rsid w:val="00CE40EA"/>
    <w:rsid w:val="00CE4562"/>
    <w:rsid w:val="00CE6982"/>
    <w:rsid w:val="00CE6E0E"/>
    <w:rsid w:val="00CF03A9"/>
    <w:rsid w:val="00CF2592"/>
    <w:rsid w:val="00CF34A7"/>
    <w:rsid w:val="00CF3791"/>
    <w:rsid w:val="00CF3967"/>
    <w:rsid w:val="00CF46ED"/>
    <w:rsid w:val="00CF5585"/>
    <w:rsid w:val="00CF5F7F"/>
    <w:rsid w:val="00D001F2"/>
    <w:rsid w:val="00D038AA"/>
    <w:rsid w:val="00D03F12"/>
    <w:rsid w:val="00D04472"/>
    <w:rsid w:val="00D06958"/>
    <w:rsid w:val="00D07515"/>
    <w:rsid w:val="00D07EAE"/>
    <w:rsid w:val="00D10505"/>
    <w:rsid w:val="00D105FE"/>
    <w:rsid w:val="00D11914"/>
    <w:rsid w:val="00D1234D"/>
    <w:rsid w:val="00D129EE"/>
    <w:rsid w:val="00D148A0"/>
    <w:rsid w:val="00D15BCF"/>
    <w:rsid w:val="00D17E3D"/>
    <w:rsid w:val="00D218F9"/>
    <w:rsid w:val="00D219FE"/>
    <w:rsid w:val="00D2358A"/>
    <w:rsid w:val="00D2457B"/>
    <w:rsid w:val="00D24754"/>
    <w:rsid w:val="00D25DBB"/>
    <w:rsid w:val="00D261EF"/>
    <w:rsid w:val="00D26203"/>
    <w:rsid w:val="00D27AFF"/>
    <w:rsid w:val="00D31368"/>
    <w:rsid w:val="00D316C0"/>
    <w:rsid w:val="00D35E19"/>
    <w:rsid w:val="00D3752C"/>
    <w:rsid w:val="00D37E38"/>
    <w:rsid w:val="00D37FEC"/>
    <w:rsid w:val="00D414E7"/>
    <w:rsid w:val="00D441CD"/>
    <w:rsid w:val="00D46ADB"/>
    <w:rsid w:val="00D501BD"/>
    <w:rsid w:val="00D5084B"/>
    <w:rsid w:val="00D508E1"/>
    <w:rsid w:val="00D509F6"/>
    <w:rsid w:val="00D54199"/>
    <w:rsid w:val="00D601F7"/>
    <w:rsid w:val="00D60DD5"/>
    <w:rsid w:val="00D625FD"/>
    <w:rsid w:val="00D63913"/>
    <w:rsid w:val="00D63955"/>
    <w:rsid w:val="00D649E3"/>
    <w:rsid w:val="00D67E57"/>
    <w:rsid w:val="00D7073A"/>
    <w:rsid w:val="00D70B1A"/>
    <w:rsid w:val="00D70FE7"/>
    <w:rsid w:val="00D71389"/>
    <w:rsid w:val="00D71F11"/>
    <w:rsid w:val="00D7655F"/>
    <w:rsid w:val="00D77012"/>
    <w:rsid w:val="00D772AE"/>
    <w:rsid w:val="00D808BE"/>
    <w:rsid w:val="00D80AFB"/>
    <w:rsid w:val="00D83A01"/>
    <w:rsid w:val="00D84485"/>
    <w:rsid w:val="00D86697"/>
    <w:rsid w:val="00D8679B"/>
    <w:rsid w:val="00D87882"/>
    <w:rsid w:val="00D87A19"/>
    <w:rsid w:val="00D87FB0"/>
    <w:rsid w:val="00D90519"/>
    <w:rsid w:val="00D90CF6"/>
    <w:rsid w:val="00D9114F"/>
    <w:rsid w:val="00D9117D"/>
    <w:rsid w:val="00D91957"/>
    <w:rsid w:val="00D92CCD"/>
    <w:rsid w:val="00D94DA7"/>
    <w:rsid w:val="00D94F90"/>
    <w:rsid w:val="00D95DAE"/>
    <w:rsid w:val="00D95FB7"/>
    <w:rsid w:val="00DA1581"/>
    <w:rsid w:val="00DA2FA3"/>
    <w:rsid w:val="00DA3039"/>
    <w:rsid w:val="00DA60C0"/>
    <w:rsid w:val="00DA615F"/>
    <w:rsid w:val="00DA67E9"/>
    <w:rsid w:val="00DA7F68"/>
    <w:rsid w:val="00DB0697"/>
    <w:rsid w:val="00DB1222"/>
    <w:rsid w:val="00DB1591"/>
    <w:rsid w:val="00DB216A"/>
    <w:rsid w:val="00DB28B0"/>
    <w:rsid w:val="00DB31A5"/>
    <w:rsid w:val="00DB3B14"/>
    <w:rsid w:val="00DB7389"/>
    <w:rsid w:val="00DB7925"/>
    <w:rsid w:val="00DC09CD"/>
    <w:rsid w:val="00DC23C1"/>
    <w:rsid w:val="00DD336F"/>
    <w:rsid w:val="00DD3CB1"/>
    <w:rsid w:val="00DD470D"/>
    <w:rsid w:val="00DD4778"/>
    <w:rsid w:val="00DE0BE1"/>
    <w:rsid w:val="00DE1A38"/>
    <w:rsid w:val="00DE224E"/>
    <w:rsid w:val="00DE23D0"/>
    <w:rsid w:val="00DE3B7C"/>
    <w:rsid w:val="00DE5167"/>
    <w:rsid w:val="00DE665A"/>
    <w:rsid w:val="00DE6989"/>
    <w:rsid w:val="00DE72B2"/>
    <w:rsid w:val="00DE7F1C"/>
    <w:rsid w:val="00DF0B8B"/>
    <w:rsid w:val="00DF120C"/>
    <w:rsid w:val="00DF13F5"/>
    <w:rsid w:val="00DF18B9"/>
    <w:rsid w:val="00DF47FF"/>
    <w:rsid w:val="00DF4818"/>
    <w:rsid w:val="00DF5CAB"/>
    <w:rsid w:val="00DF7F12"/>
    <w:rsid w:val="00E0031F"/>
    <w:rsid w:val="00E00AAB"/>
    <w:rsid w:val="00E01921"/>
    <w:rsid w:val="00E02267"/>
    <w:rsid w:val="00E036AE"/>
    <w:rsid w:val="00E04202"/>
    <w:rsid w:val="00E04751"/>
    <w:rsid w:val="00E04FA0"/>
    <w:rsid w:val="00E05242"/>
    <w:rsid w:val="00E06306"/>
    <w:rsid w:val="00E06B97"/>
    <w:rsid w:val="00E074CE"/>
    <w:rsid w:val="00E10178"/>
    <w:rsid w:val="00E11403"/>
    <w:rsid w:val="00E117CD"/>
    <w:rsid w:val="00E118E9"/>
    <w:rsid w:val="00E12E42"/>
    <w:rsid w:val="00E14E37"/>
    <w:rsid w:val="00E1593A"/>
    <w:rsid w:val="00E17E92"/>
    <w:rsid w:val="00E20017"/>
    <w:rsid w:val="00E22503"/>
    <w:rsid w:val="00E22A78"/>
    <w:rsid w:val="00E22CD5"/>
    <w:rsid w:val="00E22F96"/>
    <w:rsid w:val="00E24F74"/>
    <w:rsid w:val="00E2523E"/>
    <w:rsid w:val="00E252DF"/>
    <w:rsid w:val="00E25843"/>
    <w:rsid w:val="00E264FA"/>
    <w:rsid w:val="00E26599"/>
    <w:rsid w:val="00E26612"/>
    <w:rsid w:val="00E34C55"/>
    <w:rsid w:val="00E34F54"/>
    <w:rsid w:val="00E409B2"/>
    <w:rsid w:val="00E41D36"/>
    <w:rsid w:val="00E4302F"/>
    <w:rsid w:val="00E43C49"/>
    <w:rsid w:val="00E44BF9"/>
    <w:rsid w:val="00E450F8"/>
    <w:rsid w:val="00E45D5F"/>
    <w:rsid w:val="00E4638A"/>
    <w:rsid w:val="00E47B4F"/>
    <w:rsid w:val="00E504D6"/>
    <w:rsid w:val="00E506D6"/>
    <w:rsid w:val="00E515D7"/>
    <w:rsid w:val="00E51B30"/>
    <w:rsid w:val="00E5289A"/>
    <w:rsid w:val="00E52B91"/>
    <w:rsid w:val="00E53751"/>
    <w:rsid w:val="00E540D9"/>
    <w:rsid w:val="00E575DD"/>
    <w:rsid w:val="00E57826"/>
    <w:rsid w:val="00E61BC2"/>
    <w:rsid w:val="00E62176"/>
    <w:rsid w:val="00E630D9"/>
    <w:rsid w:val="00E637FB"/>
    <w:rsid w:val="00E639F3"/>
    <w:rsid w:val="00E65F61"/>
    <w:rsid w:val="00E666DA"/>
    <w:rsid w:val="00E667A2"/>
    <w:rsid w:val="00E67DCC"/>
    <w:rsid w:val="00E70014"/>
    <w:rsid w:val="00E705F8"/>
    <w:rsid w:val="00E70FD0"/>
    <w:rsid w:val="00E71CB8"/>
    <w:rsid w:val="00E722F4"/>
    <w:rsid w:val="00E72BBB"/>
    <w:rsid w:val="00E74F4B"/>
    <w:rsid w:val="00E75683"/>
    <w:rsid w:val="00E75899"/>
    <w:rsid w:val="00E7640F"/>
    <w:rsid w:val="00E77656"/>
    <w:rsid w:val="00E77709"/>
    <w:rsid w:val="00E805A2"/>
    <w:rsid w:val="00E80C8E"/>
    <w:rsid w:val="00E820A9"/>
    <w:rsid w:val="00E82120"/>
    <w:rsid w:val="00E82575"/>
    <w:rsid w:val="00E84744"/>
    <w:rsid w:val="00E85B2D"/>
    <w:rsid w:val="00E85DC6"/>
    <w:rsid w:val="00E863FB"/>
    <w:rsid w:val="00E8DDB8"/>
    <w:rsid w:val="00E91180"/>
    <w:rsid w:val="00E91C2E"/>
    <w:rsid w:val="00E91E2D"/>
    <w:rsid w:val="00E93AB9"/>
    <w:rsid w:val="00E93F87"/>
    <w:rsid w:val="00E942D2"/>
    <w:rsid w:val="00EA177E"/>
    <w:rsid w:val="00EA1D8E"/>
    <w:rsid w:val="00EA4C67"/>
    <w:rsid w:val="00EA4E0B"/>
    <w:rsid w:val="00EA520A"/>
    <w:rsid w:val="00EA5F22"/>
    <w:rsid w:val="00EA60B7"/>
    <w:rsid w:val="00EA665D"/>
    <w:rsid w:val="00EA684E"/>
    <w:rsid w:val="00EA6C82"/>
    <w:rsid w:val="00EB06C1"/>
    <w:rsid w:val="00EB0CF9"/>
    <w:rsid w:val="00EB16A0"/>
    <w:rsid w:val="00EB2787"/>
    <w:rsid w:val="00EB2CB8"/>
    <w:rsid w:val="00EB3A1C"/>
    <w:rsid w:val="00EB45AF"/>
    <w:rsid w:val="00EB52CC"/>
    <w:rsid w:val="00EB5BCC"/>
    <w:rsid w:val="00EB7889"/>
    <w:rsid w:val="00EC0AB6"/>
    <w:rsid w:val="00EC108A"/>
    <w:rsid w:val="00EC1370"/>
    <w:rsid w:val="00EC2419"/>
    <w:rsid w:val="00EC3171"/>
    <w:rsid w:val="00EC435E"/>
    <w:rsid w:val="00EC4BCE"/>
    <w:rsid w:val="00EC6AE1"/>
    <w:rsid w:val="00EC73EB"/>
    <w:rsid w:val="00ED1372"/>
    <w:rsid w:val="00ED22D6"/>
    <w:rsid w:val="00ED2B71"/>
    <w:rsid w:val="00ED3B84"/>
    <w:rsid w:val="00ED3C84"/>
    <w:rsid w:val="00ED433A"/>
    <w:rsid w:val="00EE12D5"/>
    <w:rsid w:val="00EE1437"/>
    <w:rsid w:val="00EE437E"/>
    <w:rsid w:val="00EE50A7"/>
    <w:rsid w:val="00EE572E"/>
    <w:rsid w:val="00EE5C05"/>
    <w:rsid w:val="00EE5F79"/>
    <w:rsid w:val="00EE7B30"/>
    <w:rsid w:val="00EF14DB"/>
    <w:rsid w:val="00EF2B0C"/>
    <w:rsid w:val="00EF4B09"/>
    <w:rsid w:val="00EF6918"/>
    <w:rsid w:val="00EF7A5A"/>
    <w:rsid w:val="00EF7B54"/>
    <w:rsid w:val="00F0003C"/>
    <w:rsid w:val="00F0063B"/>
    <w:rsid w:val="00F00711"/>
    <w:rsid w:val="00F02885"/>
    <w:rsid w:val="00F02D19"/>
    <w:rsid w:val="00F03069"/>
    <w:rsid w:val="00F04060"/>
    <w:rsid w:val="00F0458F"/>
    <w:rsid w:val="00F04FC4"/>
    <w:rsid w:val="00F0567F"/>
    <w:rsid w:val="00F0679B"/>
    <w:rsid w:val="00F10BB6"/>
    <w:rsid w:val="00F10E9A"/>
    <w:rsid w:val="00F1150F"/>
    <w:rsid w:val="00F11C14"/>
    <w:rsid w:val="00F12A73"/>
    <w:rsid w:val="00F12FF8"/>
    <w:rsid w:val="00F1558E"/>
    <w:rsid w:val="00F17A5D"/>
    <w:rsid w:val="00F20106"/>
    <w:rsid w:val="00F2285F"/>
    <w:rsid w:val="00F2338A"/>
    <w:rsid w:val="00F23847"/>
    <w:rsid w:val="00F24BE9"/>
    <w:rsid w:val="00F25586"/>
    <w:rsid w:val="00F2590D"/>
    <w:rsid w:val="00F266D4"/>
    <w:rsid w:val="00F26B3B"/>
    <w:rsid w:val="00F27780"/>
    <w:rsid w:val="00F27B74"/>
    <w:rsid w:val="00F309AF"/>
    <w:rsid w:val="00F30DC0"/>
    <w:rsid w:val="00F31185"/>
    <w:rsid w:val="00F31ADD"/>
    <w:rsid w:val="00F32964"/>
    <w:rsid w:val="00F36457"/>
    <w:rsid w:val="00F36841"/>
    <w:rsid w:val="00F3747B"/>
    <w:rsid w:val="00F37485"/>
    <w:rsid w:val="00F40D09"/>
    <w:rsid w:val="00F40DA3"/>
    <w:rsid w:val="00F41E50"/>
    <w:rsid w:val="00F4391A"/>
    <w:rsid w:val="00F43A69"/>
    <w:rsid w:val="00F463C3"/>
    <w:rsid w:val="00F46490"/>
    <w:rsid w:val="00F5038F"/>
    <w:rsid w:val="00F508F8"/>
    <w:rsid w:val="00F50EF8"/>
    <w:rsid w:val="00F52AF5"/>
    <w:rsid w:val="00F52EB7"/>
    <w:rsid w:val="00F53730"/>
    <w:rsid w:val="00F53842"/>
    <w:rsid w:val="00F53AC8"/>
    <w:rsid w:val="00F54D97"/>
    <w:rsid w:val="00F553D2"/>
    <w:rsid w:val="00F5724F"/>
    <w:rsid w:val="00F5744E"/>
    <w:rsid w:val="00F57BEB"/>
    <w:rsid w:val="00F61B70"/>
    <w:rsid w:val="00F63734"/>
    <w:rsid w:val="00F63A34"/>
    <w:rsid w:val="00F6421E"/>
    <w:rsid w:val="00F642A0"/>
    <w:rsid w:val="00F64BF6"/>
    <w:rsid w:val="00F66B18"/>
    <w:rsid w:val="00F70D9F"/>
    <w:rsid w:val="00F71575"/>
    <w:rsid w:val="00F72947"/>
    <w:rsid w:val="00F72980"/>
    <w:rsid w:val="00F72B38"/>
    <w:rsid w:val="00F736A9"/>
    <w:rsid w:val="00F74E8F"/>
    <w:rsid w:val="00F74FC9"/>
    <w:rsid w:val="00F75393"/>
    <w:rsid w:val="00F76B20"/>
    <w:rsid w:val="00F802B7"/>
    <w:rsid w:val="00F81502"/>
    <w:rsid w:val="00F81A66"/>
    <w:rsid w:val="00F81E89"/>
    <w:rsid w:val="00F83201"/>
    <w:rsid w:val="00F838F9"/>
    <w:rsid w:val="00F845A1"/>
    <w:rsid w:val="00F8539C"/>
    <w:rsid w:val="00F8566D"/>
    <w:rsid w:val="00F85CE7"/>
    <w:rsid w:val="00F86E17"/>
    <w:rsid w:val="00F87176"/>
    <w:rsid w:val="00F91071"/>
    <w:rsid w:val="00F915D5"/>
    <w:rsid w:val="00F91C01"/>
    <w:rsid w:val="00F92EA6"/>
    <w:rsid w:val="00F932F6"/>
    <w:rsid w:val="00F94AE5"/>
    <w:rsid w:val="00F95AA3"/>
    <w:rsid w:val="00F95BE7"/>
    <w:rsid w:val="00F96510"/>
    <w:rsid w:val="00FA0015"/>
    <w:rsid w:val="00FA0723"/>
    <w:rsid w:val="00FA3430"/>
    <w:rsid w:val="00FA34AA"/>
    <w:rsid w:val="00FA4441"/>
    <w:rsid w:val="00FA5C2A"/>
    <w:rsid w:val="00FA5C98"/>
    <w:rsid w:val="00FA6542"/>
    <w:rsid w:val="00FA78D8"/>
    <w:rsid w:val="00FA7A6C"/>
    <w:rsid w:val="00FA7C93"/>
    <w:rsid w:val="00FB0DAC"/>
    <w:rsid w:val="00FB108C"/>
    <w:rsid w:val="00FB14CE"/>
    <w:rsid w:val="00FB2435"/>
    <w:rsid w:val="00FB2486"/>
    <w:rsid w:val="00FB3B61"/>
    <w:rsid w:val="00FB3E7D"/>
    <w:rsid w:val="00FB4927"/>
    <w:rsid w:val="00FB5476"/>
    <w:rsid w:val="00FB5689"/>
    <w:rsid w:val="00FC09B2"/>
    <w:rsid w:val="00FC0ED3"/>
    <w:rsid w:val="00FC1551"/>
    <w:rsid w:val="00FC28A6"/>
    <w:rsid w:val="00FC2D23"/>
    <w:rsid w:val="00FC2DC9"/>
    <w:rsid w:val="00FC2E4B"/>
    <w:rsid w:val="00FC40B8"/>
    <w:rsid w:val="00FC4F29"/>
    <w:rsid w:val="00FC6B5D"/>
    <w:rsid w:val="00FC6D98"/>
    <w:rsid w:val="00FC7CDB"/>
    <w:rsid w:val="00FD0D37"/>
    <w:rsid w:val="00FD3797"/>
    <w:rsid w:val="00FD61C2"/>
    <w:rsid w:val="00FD67B8"/>
    <w:rsid w:val="00FD693F"/>
    <w:rsid w:val="00FD7C89"/>
    <w:rsid w:val="00FE0E15"/>
    <w:rsid w:val="00FE2582"/>
    <w:rsid w:val="00FE35A7"/>
    <w:rsid w:val="00FE37A1"/>
    <w:rsid w:val="00FE3C9B"/>
    <w:rsid w:val="00FE434E"/>
    <w:rsid w:val="00FE5264"/>
    <w:rsid w:val="00FF00C6"/>
    <w:rsid w:val="00FF2496"/>
    <w:rsid w:val="00FF39F6"/>
    <w:rsid w:val="00FF4456"/>
    <w:rsid w:val="00FF459F"/>
    <w:rsid w:val="00FF46BA"/>
    <w:rsid w:val="00FF5CCF"/>
    <w:rsid w:val="00FF5F27"/>
    <w:rsid w:val="00FF6E67"/>
    <w:rsid w:val="00FF7345"/>
    <w:rsid w:val="0115C7DD"/>
    <w:rsid w:val="01AE398F"/>
    <w:rsid w:val="01DB6262"/>
    <w:rsid w:val="02A2FEAA"/>
    <w:rsid w:val="0459EF66"/>
    <w:rsid w:val="053D802A"/>
    <w:rsid w:val="05B02F69"/>
    <w:rsid w:val="05D7A1D1"/>
    <w:rsid w:val="07373CA8"/>
    <w:rsid w:val="075326CC"/>
    <w:rsid w:val="07623288"/>
    <w:rsid w:val="078678E7"/>
    <w:rsid w:val="078FB5EC"/>
    <w:rsid w:val="079FB823"/>
    <w:rsid w:val="0863730C"/>
    <w:rsid w:val="087AD052"/>
    <w:rsid w:val="088949EB"/>
    <w:rsid w:val="09560830"/>
    <w:rsid w:val="099F4127"/>
    <w:rsid w:val="09DF9DF8"/>
    <w:rsid w:val="09FED991"/>
    <w:rsid w:val="0A401EDE"/>
    <w:rsid w:val="0A7E03FF"/>
    <w:rsid w:val="0B4287EC"/>
    <w:rsid w:val="0BDC86D2"/>
    <w:rsid w:val="0BF49DC3"/>
    <w:rsid w:val="0C07D034"/>
    <w:rsid w:val="0C685766"/>
    <w:rsid w:val="0D0818B5"/>
    <w:rsid w:val="0DB00D47"/>
    <w:rsid w:val="0DD41FC3"/>
    <w:rsid w:val="0E2AAA72"/>
    <w:rsid w:val="0F08D4CF"/>
    <w:rsid w:val="0FD44023"/>
    <w:rsid w:val="109CF31D"/>
    <w:rsid w:val="10BE5C74"/>
    <w:rsid w:val="10F9D614"/>
    <w:rsid w:val="113CD482"/>
    <w:rsid w:val="1167371A"/>
    <w:rsid w:val="11D567A2"/>
    <w:rsid w:val="11FDBC72"/>
    <w:rsid w:val="1218FB01"/>
    <w:rsid w:val="1234855C"/>
    <w:rsid w:val="123B5FAF"/>
    <w:rsid w:val="129AFF5B"/>
    <w:rsid w:val="12C10B6E"/>
    <w:rsid w:val="1315F80B"/>
    <w:rsid w:val="135082CF"/>
    <w:rsid w:val="136592A1"/>
    <w:rsid w:val="1365F488"/>
    <w:rsid w:val="136F589A"/>
    <w:rsid w:val="146B5A60"/>
    <w:rsid w:val="14AA21C5"/>
    <w:rsid w:val="159087F7"/>
    <w:rsid w:val="15C10688"/>
    <w:rsid w:val="15CFDD04"/>
    <w:rsid w:val="165BC9B8"/>
    <w:rsid w:val="166920D4"/>
    <w:rsid w:val="17AD1044"/>
    <w:rsid w:val="1839443D"/>
    <w:rsid w:val="1859D9B1"/>
    <w:rsid w:val="18AFD878"/>
    <w:rsid w:val="18F3A3E4"/>
    <w:rsid w:val="1911265A"/>
    <w:rsid w:val="1952F2E9"/>
    <w:rsid w:val="19619C61"/>
    <w:rsid w:val="19ABC975"/>
    <w:rsid w:val="19CA1E2B"/>
    <w:rsid w:val="19DDFE90"/>
    <w:rsid w:val="19E83751"/>
    <w:rsid w:val="1A0FABC8"/>
    <w:rsid w:val="1A4DFFA9"/>
    <w:rsid w:val="1A8E0874"/>
    <w:rsid w:val="1B009A12"/>
    <w:rsid w:val="1B5AFAB5"/>
    <w:rsid w:val="1BA1E0D7"/>
    <w:rsid w:val="1C7CC5F0"/>
    <w:rsid w:val="1CA1971F"/>
    <w:rsid w:val="1CF7DE00"/>
    <w:rsid w:val="1D3B96A2"/>
    <w:rsid w:val="1D61C48C"/>
    <w:rsid w:val="1D725BA2"/>
    <w:rsid w:val="1DCF8745"/>
    <w:rsid w:val="1E0CE0CD"/>
    <w:rsid w:val="1E392012"/>
    <w:rsid w:val="1E7A0554"/>
    <w:rsid w:val="1F1BC40E"/>
    <w:rsid w:val="1F428931"/>
    <w:rsid w:val="1F87215C"/>
    <w:rsid w:val="1FD57EC1"/>
    <w:rsid w:val="1FF7FAEE"/>
    <w:rsid w:val="20617F29"/>
    <w:rsid w:val="20B6A3B1"/>
    <w:rsid w:val="20D787A7"/>
    <w:rsid w:val="20EF222F"/>
    <w:rsid w:val="211D2018"/>
    <w:rsid w:val="212595D5"/>
    <w:rsid w:val="2125BDE1"/>
    <w:rsid w:val="21D96BFA"/>
    <w:rsid w:val="2222D66F"/>
    <w:rsid w:val="2227D961"/>
    <w:rsid w:val="22611F87"/>
    <w:rsid w:val="2272F285"/>
    <w:rsid w:val="2288171D"/>
    <w:rsid w:val="22C0D32F"/>
    <w:rsid w:val="22D0A029"/>
    <w:rsid w:val="23618886"/>
    <w:rsid w:val="238F03D9"/>
    <w:rsid w:val="23A7C470"/>
    <w:rsid w:val="2456A217"/>
    <w:rsid w:val="247D7AD2"/>
    <w:rsid w:val="25098DC4"/>
    <w:rsid w:val="254EA0C0"/>
    <w:rsid w:val="255EA503"/>
    <w:rsid w:val="2569B2D0"/>
    <w:rsid w:val="25778DBD"/>
    <w:rsid w:val="25B6295A"/>
    <w:rsid w:val="267699F3"/>
    <w:rsid w:val="26E42E4E"/>
    <w:rsid w:val="2765A1BC"/>
    <w:rsid w:val="27A34DAB"/>
    <w:rsid w:val="27B95035"/>
    <w:rsid w:val="280A1F32"/>
    <w:rsid w:val="2814F11C"/>
    <w:rsid w:val="281D04B1"/>
    <w:rsid w:val="283CC96C"/>
    <w:rsid w:val="2872C1A9"/>
    <w:rsid w:val="28CDBC05"/>
    <w:rsid w:val="28F6D0BC"/>
    <w:rsid w:val="290B1F56"/>
    <w:rsid w:val="290B604B"/>
    <w:rsid w:val="293B4644"/>
    <w:rsid w:val="294B1FA1"/>
    <w:rsid w:val="29C34052"/>
    <w:rsid w:val="2A95BC3F"/>
    <w:rsid w:val="2AE11C72"/>
    <w:rsid w:val="2AE9624F"/>
    <w:rsid w:val="2BA9FB8F"/>
    <w:rsid w:val="2C9D5583"/>
    <w:rsid w:val="2D44036E"/>
    <w:rsid w:val="2D6C1EB1"/>
    <w:rsid w:val="2D76F1F8"/>
    <w:rsid w:val="2D772CFC"/>
    <w:rsid w:val="2DE906ED"/>
    <w:rsid w:val="2E174C04"/>
    <w:rsid w:val="2E9A7CE9"/>
    <w:rsid w:val="2F0FF530"/>
    <w:rsid w:val="2F1BE266"/>
    <w:rsid w:val="2F70FCCB"/>
    <w:rsid w:val="2F966BAE"/>
    <w:rsid w:val="2FBCC906"/>
    <w:rsid w:val="304863D8"/>
    <w:rsid w:val="30503D42"/>
    <w:rsid w:val="32204F0C"/>
    <w:rsid w:val="3222EEE0"/>
    <w:rsid w:val="323B388E"/>
    <w:rsid w:val="325F34DE"/>
    <w:rsid w:val="328E88AB"/>
    <w:rsid w:val="32906ADD"/>
    <w:rsid w:val="32EACAD0"/>
    <w:rsid w:val="331C6E59"/>
    <w:rsid w:val="33DC9580"/>
    <w:rsid w:val="346CE445"/>
    <w:rsid w:val="34B42CFD"/>
    <w:rsid w:val="34CD8884"/>
    <w:rsid w:val="368555BD"/>
    <w:rsid w:val="36B27441"/>
    <w:rsid w:val="36FDE9CE"/>
    <w:rsid w:val="37181011"/>
    <w:rsid w:val="371D1CE9"/>
    <w:rsid w:val="379B639C"/>
    <w:rsid w:val="37A79789"/>
    <w:rsid w:val="37EF6C89"/>
    <w:rsid w:val="38192327"/>
    <w:rsid w:val="38A16D81"/>
    <w:rsid w:val="39BE470B"/>
    <w:rsid w:val="39D1D744"/>
    <w:rsid w:val="3A3E11B6"/>
    <w:rsid w:val="3A54720A"/>
    <w:rsid w:val="3A81364E"/>
    <w:rsid w:val="3B7012F1"/>
    <w:rsid w:val="3BA047E9"/>
    <w:rsid w:val="3C61A919"/>
    <w:rsid w:val="3CF6D013"/>
    <w:rsid w:val="3D1F0AE4"/>
    <w:rsid w:val="3D756A4B"/>
    <w:rsid w:val="3DAC91C2"/>
    <w:rsid w:val="3DCFD0B4"/>
    <w:rsid w:val="3E47FF15"/>
    <w:rsid w:val="3ED6072D"/>
    <w:rsid w:val="3F174D6C"/>
    <w:rsid w:val="3F55CCA4"/>
    <w:rsid w:val="3F5F6976"/>
    <w:rsid w:val="3F80E84F"/>
    <w:rsid w:val="3F8C7112"/>
    <w:rsid w:val="40ABB086"/>
    <w:rsid w:val="40D007C0"/>
    <w:rsid w:val="40F49215"/>
    <w:rsid w:val="416B68DE"/>
    <w:rsid w:val="418C01FA"/>
    <w:rsid w:val="421465E6"/>
    <w:rsid w:val="4278317B"/>
    <w:rsid w:val="428CF572"/>
    <w:rsid w:val="4331D5B8"/>
    <w:rsid w:val="43F704B5"/>
    <w:rsid w:val="4408408B"/>
    <w:rsid w:val="44A17C3A"/>
    <w:rsid w:val="44AAD950"/>
    <w:rsid w:val="44B938B8"/>
    <w:rsid w:val="453600BC"/>
    <w:rsid w:val="459638E9"/>
    <w:rsid w:val="45C4D2C3"/>
    <w:rsid w:val="45EA7D01"/>
    <w:rsid w:val="46999CF8"/>
    <w:rsid w:val="46CDE408"/>
    <w:rsid w:val="47BB2B46"/>
    <w:rsid w:val="47BDA2E0"/>
    <w:rsid w:val="47F84206"/>
    <w:rsid w:val="4811F654"/>
    <w:rsid w:val="48541547"/>
    <w:rsid w:val="4876196B"/>
    <w:rsid w:val="48F8F95C"/>
    <w:rsid w:val="490883E9"/>
    <w:rsid w:val="49AAF214"/>
    <w:rsid w:val="49D191F3"/>
    <w:rsid w:val="4A9A0603"/>
    <w:rsid w:val="4ABCC814"/>
    <w:rsid w:val="4B96FA6D"/>
    <w:rsid w:val="4BB006CA"/>
    <w:rsid w:val="4BB075CA"/>
    <w:rsid w:val="4BEA0A52"/>
    <w:rsid w:val="4CAEC498"/>
    <w:rsid w:val="4CD14951"/>
    <w:rsid w:val="4D729BDD"/>
    <w:rsid w:val="4D7F5219"/>
    <w:rsid w:val="4DAA116C"/>
    <w:rsid w:val="4DCCB53E"/>
    <w:rsid w:val="4E1C274F"/>
    <w:rsid w:val="4E2D1A7A"/>
    <w:rsid w:val="4E40E0C8"/>
    <w:rsid w:val="4E7B6FE5"/>
    <w:rsid w:val="4ED4BA10"/>
    <w:rsid w:val="4EE46413"/>
    <w:rsid w:val="4F73535F"/>
    <w:rsid w:val="4FA6D085"/>
    <w:rsid w:val="509B0C8A"/>
    <w:rsid w:val="50CFA9D7"/>
    <w:rsid w:val="50E39AF2"/>
    <w:rsid w:val="50FDD320"/>
    <w:rsid w:val="51123259"/>
    <w:rsid w:val="515F0EA0"/>
    <w:rsid w:val="515FC1B0"/>
    <w:rsid w:val="51E7623F"/>
    <w:rsid w:val="52802BEF"/>
    <w:rsid w:val="5294A8D9"/>
    <w:rsid w:val="52B8CA99"/>
    <w:rsid w:val="5311821A"/>
    <w:rsid w:val="54037810"/>
    <w:rsid w:val="5445DF5C"/>
    <w:rsid w:val="549F59E1"/>
    <w:rsid w:val="54B92DFF"/>
    <w:rsid w:val="54C48034"/>
    <w:rsid w:val="556C6AE4"/>
    <w:rsid w:val="55CEC493"/>
    <w:rsid w:val="568B6E69"/>
    <w:rsid w:val="57BB7598"/>
    <w:rsid w:val="57D7B9B1"/>
    <w:rsid w:val="583AEEFA"/>
    <w:rsid w:val="587CA8C8"/>
    <w:rsid w:val="58E59652"/>
    <w:rsid w:val="58F72E44"/>
    <w:rsid w:val="5950860C"/>
    <w:rsid w:val="597A9722"/>
    <w:rsid w:val="59A41654"/>
    <w:rsid w:val="59DDC154"/>
    <w:rsid w:val="5A09587A"/>
    <w:rsid w:val="5A547E7B"/>
    <w:rsid w:val="5AD61F9F"/>
    <w:rsid w:val="5BD3ED0F"/>
    <w:rsid w:val="5BE79C79"/>
    <w:rsid w:val="5C3F4DFD"/>
    <w:rsid w:val="5E9EFA03"/>
    <w:rsid w:val="5EB9064C"/>
    <w:rsid w:val="5F65E394"/>
    <w:rsid w:val="5F85DD29"/>
    <w:rsid w:val="5FEFEC5C"/>
    <w:rsid w:val="6016DBED"/>
    <w:rsid w:val="6036613C"/>
    <w:rsid w:val="610F9BFD"/>
    <w:rsid w:val="61870F35"/>
    <w:rsid w:val="61D09897"/>
    <w:rsid w:val="61D56F6F"/>
    <w:rsid w:val="61D74468"/>
    <w:rsid w:val="61D770E9"/>
    <w:rsid w:val="6248B881"/>
    <w:rsid w:val="630F3847"/>
    <w:rsid w:val="63502584"/>
    <w:rsid w:val="63748273"/>
    <w:rsid w:val="6394E29E"/>
    <w:rsid w:val="63AD31E7"/>
    <w:rsid w:val="63BFB0CF"/>
    <w:rsid w:val="63E7F4E7"/>
    <w:rsid w:val="63F97316"/>
    <w:rsid w:val="64B6B6C4"/>
    <w:rsid w:val="64F544E1"/>
    <w:rsid w:val="6592027F"/>
    <w:rsid w:val="65AB0BE9"/>
    <w:rsid w:val="6626B18F"/>
    <w:rsid w:val="6650EB03"/>
    <w:rsid w:val="66670A00"/>
    <w:rsid w:val="67043EB3"/>
    <w:rsid w:val="67549106"/>
    <w:rsid w:val="678FEA8B"/>
    <w:rsid w:val="67CC244B"/>
    <w:rsid w:val="694BA43A"/>
    <w:rsid w:val="6960FF6D"/>
    <w:rsid w:val="6A5D2FFC"/>
    <w:rsid w:val="6AEBA836"/>
    <w:rsid w:val="6B31DA9F"/>
    <w:rsid w:val="6B8F74FC"/>
    <w:rsid w:val="6B94E32A"/>
    <w:rsid w:val="6C1CB8F5"/>
    <w:rsid w:val="6CB5734B"/>
    <w:rsid w:val="6CE5564E"/>
    <w:rsid w:val="6CF820CD"/>
    <w:rsid w:val="6D961D03"/>
    <w:rsid w:val="6DE6A1D0"/>
    <w:rsid w:val="6E275C78"/>
    <w:rsid w:val="6EE5CAAF"/>
    <w:rsid w:val="6F76979A"/>
    <w:rsid w:val="6FF49A05"/>
    <w:rsid w:val="6FFBACE4"/>
    <w:rsid w:val="70293122"/>
    <w:rsid w:val="7048C437"/>
    <w:rsid w:val="707ED8AC"/>
    <w:rsid w:val="7108BC08"/>
    <w:rsid w:val="72315865"/>
    <w:rsid w:val="725F1E62"/>
    <w:rsid w:val="7296B566"/>
    <w:rsid w:val="72B36483"/>
    <w:rsid w:val="733B82BC"/>
    <w:rsid w:val="7448E387"/>
    <w:rsid w:val="7459D503"/>
    <w:rsid w:val="74727E5A"/>
    <w:rsid w:val="74C84C0A"/>
    <w:rsid w:val="74E8E5CA"/>
    <w:rsid w:val="75F37B79"/>
    <w:rsid w:val="76380CB5"/>
    <w:rsid w:val="7697F12E"/>
    <w:rsid w:val="771C15DD"/>
    <w:rsid w:val="77213A2B"/>
    <w:rsid w:val="775C3B34"/>
    <w:rsid w:val="77A5AEC3"/>
    <w:rsid w:val="77BC2A2F"/>
    <w:rsid w:val="7810DA6E"/>
    <w:rsid w:val="78A42E6D"/>
    <w:rsid w:val="78F1DC5D"/>
    <w:rsid w:val="7909C1DD"/>
    <w:rsid w:val="7962CAC2"/>
    <w:rsid w:val="796AB891"/>
    <w:rsid w:val="796D18F1"/>
    <w:rsid w:val="799A9BF4"/>
    <w:rsid w:val="79BE4692"/>
    <w:rsid w:val="7B91C3D3"/>
    <w:rsid w:val="7B9B6DB8"/>
    <w:rsid w:val="7BC928AC"/>
    <w:rsid w:val="7C2397E2"/>
    <w:rsid w:val="7C445E73"/>
    <w:rsid w:val="7C7C84C5"/>
    <w:rsid w:val="7CD8049D"/>
    <w:rsid w:val="7CDE0C14"/>
    <w:rsid w:val="7DDFC41E"/>
    <w:rsid w:val="7DFDEE00"/>
    <w:rsid w:val="7E484B97"/>
    <w:rsid w:val="7EA90A08"/>
    <w:rsid w:val="7F380A92"/>
    <w:rsid w:val="7F64D8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3C60A2"/>
  <w15:docId w15:val="{840019ED-7F8B-4038-91B9-E414C018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w:hAnsi="Tahoma" w:cs="Times New Roman"/>
        <w:sz w:val="22"/>
        <w:szCs w:val="22"/>
        <w:lang w:val="en-GB" w:eastAsia="en-GB" w:bidi="ar-SA"/>
      </w:rPr>
    </w:rPrDefault>
    <w:pPrDefault>
      <w:pPr>
        <w:spacing w:after="180" w:line="280" w:lineRule="exact"/>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6D6"/>
    <w:pPr>
      <w:spacing w:before="180" w:after="0" w:line="240" w:lineRule="auto"/>
    </w:pPr>
    <w:rPr>
      <w:rFonts w:ascii="Arial" w:hAnsi="Arial" w:cs="Arial"/>
      <w:sz w:val="21"/>
      <w:szCs w:val="21"/>
    </w:rPr>
  </w:style>
  <w:style w:type="paragraph" w:styleId="Heading1">
    <w:name w:val="heading 1"/>
    <w:next w:val="Normal"/>
    <w:link w:val="Heading1Char"/>
    <w:rsid w:val="005236D6"/>
    <w:pPr>
      <w:keepNext/>
      <w:numPr>
        <w:numId w:val="1"/>
      </w:numPr>
      <w:spacing w:before="180" w:line="240" w:lineRule="auto"/>
      <w:outlineLvl w:val="0"/>
    </w:pPr>
    <w:rPr>
      <w:rFonts w:ascii="Arial" w:hAnsi="Arial" w:cs="Arial"/>
      <w:b/>
      <w:kern w:val="32"/>
      <w:sz w:val="36"/>
      <w:lang w:eastAsia="en-US"/>
    </w:rPr>
  </w:style>
  <w:style w:type="paragraph" w:styleId="Heading2">
    <w:name w:val="heading 2"/>
    <w:basedOn w:val="Heading1"/>
    <w:next w:val="Normal"/>
    <w:link w:val="Heading2Char"/>
    <w:qFormat/>
    <w:rsid w:val="005236D6"/>
    <w:pPr>
      <w:numPr>
        <w:numId w:val="0"/>
      </w:numPr>
      <w:spacing w:after="120"/>
      <w:outlineLvl w:val="1"/>
    </w:pPr>
    <w:rPr>
      <w:sz w:val="32"/>
    </w:rPr>
  </w:style>
  <w:style w:type="paragraph" w:styleId="Heading3">
    <w:name w:val="heading 3"/>
    <w:basedOn w:val="Heading2"/>
    <w:next w:val="Normal"/>
    <w:link w:val="Heading3Char"/>
    <w:qFormat/>
    <w:rsid w:val="005236D6"/>
    <w:pPr>
      <w:tabs>
        <w:tab w:val="left" w:pos="567"/>
      </w:tabs>
      <w:outlineLvl w:val="2"/>
    </w:pPr>
    <w:rPr>
      <w:sz w:val="28"/>
    </w:rPr>
  </w:style>
  <w:style w:type="paragraph" w:styleId="Heading4">
    <w:name w:val="heading 4"/>
    <w:basedOn w:val="Heading3"/>
    <w:next w:val="Normal"/>
    <w:link w:val="Heading4Char"/>
    <w:rsid w:val="005236D6"/>
    <w:pPr>
      <w:adjustRightInd w:val="0"/>
      <w:spacing w:before="120"/>
      <w:outlineLvl w:val="3"/>
    </w:pPr>
    <w:rPr>
      <w:sz w:val="24"/>
    </w:rPr>
  </w:style>
  <w:style w:type="paragraph" w:styleId="Heading5">
    <w:name w:val="heading 5"/>
    <w:basedOn w:val="Heading4"/>
    <w:next w:val="Normal"/>
    <w:link w:val="Heading5Char"/>
    <w:rsid w:val="005236D6"/>
    <w:pPr>
      <w:ind w:left="567"/>
      <w:outlineLvl w:val="4"/>
    </w:pPr>
    <w:rPr>
      <w:sz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0E7EF3"/>
    <w:pPr>
      <w:numPr>
        <w:numId w:val="3"/>
      </w:numPr>
      <w:tabs>
        <w:tab w:val="left" w:pos="1701"/>
      </w:tabs>
      <w:spacing w:before="120"/>
    </w:pPr>
  </w:style>
  <w:style w:type="numbering" w:customStyle="1" w:styleId="ListNumbers">
    <w:name w:val="ListNumbers"/>
    <w:uiPriority w:val="99"/>
    <w:rsid w:val="005236D6"/>
    <w:pPr>
      <w:numPr>
        <w:numId w:val="4"/>
      </w:numPr>
    </w:pPr>
  </w:style>
  <w:style w:type="character" w:customStyle="1" w:styleId="FooterChar">
    <w:name w:val="Footer Char"/>
    <w:link w:val="Footer"/>
    <w:rsid w:val="005236D6"/>
    <w:rPr>
      <w:rFonts w:ascii="Arial" w:hAnsi="Arial" w:cs="Arial"/>
      <w:sz w:val="14"/>
      <w:szCs w:val="21"/>
    </w:rPr>
  </w:style>
  <w:style w:type="character" w:customStyle="1" w:styleId="Heading1Char">
    <w:name w:val="Heading 1 Char"/>
    <w:link w:val="Heading1"/>
    <w:rsid w:val="005236D6"/>
    <w:rPr>
      <w:rFonts w:ascii="Arial" w:hAnsi="Arial" w:cs="Arial"/>
      <w:b/>
      <w:kern w:val="32"/>
      <w:sz w:val="36"/>
      <w:lang w:eastAsia="en-US"/>
    </w:rPr>
  </w:style>
  <w:style w:type="paragraph" w:styleId="Footer">
    <w:name w:val="footer"/>
    <w:basedOn w:val="Normal"/>
    <w:next w:val="Normal"/>
    <w:link w:val="FooterChar"/>
    <w:rsid w:val="005236D6"/>
    <w:rPr>
      <w:sz w:val="14"/>
    </w:rPr>
  </w:style>
  <w:style w:type="character" w:customStyle="1" w:styleId="Heading2Char">
    <w:name w:val="Heading 2 Char"/>
    <w:link w:val="Heading2"/>
    <w:rsid w:val="005236D6"/>
    <w:rPr>
      <w:rFonts w:ascii="Arial" w:hAnsi="Arial" w:cs="Arial"/>
      <w:b/>
      <w:kern w:val="32"/>
      <w:sz w:val="32"/>
      <w:lang w:eastAsia="en-US"/>
    </w:rPr>
  </w:style>
  <w:style w:type="paragraph" w:customStyle="1" w:styleId="Heading3numbered">
    <w:name w:val="Heading 3 numbered"/>
    <w:basedOn w:val="Heading3"/>
    <w:next w:val="Normal"/>
    <w:rsid w:val="005236D6"/>
    <w:pPr>
      <w:numPr>
        <w:ilvl w:val="2"/>
        <w:numId w:val="1"/>
      </w:numPr>
      <w:tabs>
        <w:tab w:val="clear" w:pos="567"/>
      </w:tabs>
    </w:pPr>
  </w:style>
  <w:style w:type="paragraph" w:customStyle="1" w:styleId="Heading4numbered">
    <w:name w:val="Heading 4 numbered"/>
    <w:basedOn w:val="Heading4"/>
    <w:next w:val="Normal"/>
    <w:rsid w:val="005236D6"/>
    <w:pPr>
      <w:numPr>
        <w:ilvl w:val="3"/>
        <w:numId w:val="1"/>
      </w:numPr>
      <w:tabs>
        <w:tab w:val="clear" w:pos="567"/>
      </w:tabs>
    </w:pPr>
  </w:style>
  <w:style w:type="paragraph" w:customStyle="1" w:styleId="Heading5numbered">
    <w:name w:val="Heading 5 numbered"/>
    <w:basedOn w:val="Heading5"/>
    <w:next w:val="Normal"/>
    <w:rsid w:val="005236D6"/>
    <w:pPr>
      <w:numPr>
        <w:ilvl w:val="4"/>
        <w:numId w:val="1"/>
      </w:numPr>
      <w:tabs>
        <w:tab w:val="clear" w:pos="567"/>
        <w:tab w:val="left" w:pos="1134"/>
      </w:tabs>
    </w:pPr>
  </w:style>
  <w:style w:type="character" w:customStyle="1" w:styleId="Heading3Char">
    <w:name w:val="Heading 3 Char"/>
    <w:link w:val="Heading3"/>
    <w:rsid w:val="005236D6"/>
    <w:rPr>
      <w:rFonts w:ascii="Arial" w:hAnsi="Arial" w:cs="Arial"/>
      <w:b/>
      <w:kern w:val="32"/>
      <w:sz w:val="28"/>
      <w:lang w:eastAsia="en-US"/>
    </w:rPr>
  </w:style>
  <w:style w:type="character" w:customStyle="1" w:styleId="Heading4Char">
    <w:name w:val="Heading 4 Char"/>
    <w:link w:val="Heading4"/>
    <w:rsid w:val="005236D6"/>
    <w:rPr>
      <w:rFonts w:ascii="Arial" w:hAnsi="Arial" w:cs="Arial"/>
      <w:b/>
      <w:kern w:val="32"/>
      <w:sz w:val="24"/>
      <w:lang w:eastAsia="en-US"/>
    </w:rPr>
  </w:style>
  <w:style w:type="character" w:customStyle="1" w:styleId="Heading5Char">
    <w:name w:val="Heading 5 Char"/>
    <w:link w:val="Heading5"/>
    <w:rsid w:val="005236D6"/>
    <w:rPr>
      <w:rFonts w:ascii="Arial" w:hAnsi="Arial" w:cs="Arial"/>
      <w:b/>
      <w:kern w:val="32"/>
      <w:sz w:val="21"/>
      <w:lang w:eastAsia="en-US"/>
    </w:rPr>
  </w:style>
  <w:style w:type="paragraph" w:customStyle="1" w:styleId="Normalindented">
    <w:name w:val="Normal indented"/>
    <w:basedOn w:val="Normal"/>
    <w:rsid w:val="005236D6"/>
    <w:pPr>
      <w:ind w:left="340"/>
    </w:pPr>
  </w:style>
  <w:style w:type="numbering" w:customStyle="1" w:styleId="Headings">
    <w:name w:val="Headings"/>
    <w:uiPriority w:val="99"/>
    <w:rsid w:val="005236D6"/>
    <w:pPr>
      <w:numPr>
        <w:numId w:val="1"/>
      </w:numPr>
    </w:pPr>
  </w:style>
  <w:style w:type="paragraph" w:styleId="ListParagraph">
    <w:name w:val="List Paragraph"/>
    <w:basedOn w:val="Normal"/>
    <w:uiPriority w:val="34"/>
    <w:semiHidden/>
    <w:qFormat/>
    <w:rsid w:val="005236D6"/>
    <w:pPr>
      <w:ind w:left="720"/>
      <w:contextualSpacing/>
    </w:pPr>
  </w:style>
  <w:style w:type="paragraph" w:styleId="ListBullet2">
    <w:name w:val="List Bullet 2"/>
    <w:basedOn w:val="Normal"/>
    <w:uiPriority w:val="99"/>
    <w:semiHidden/>
    <w:rsid w:val="000E7EF3"/>
    <w:pPr>
      <w:numPr>
        <w:ilvl w:val="1"/>
        <w:numId w:val="3"/>
      </w:numPr>
      <w:tabs>
        <w:tab w:val="left" w:pos="680"/>
        <w:tab w:val="left" w:pos="1021"/>
      </w:tabs>
      <w:spacing w:before="120"/>
    </w:pPr>
  </w:style>
  <w:style w:type="paragraph" w:styleId="ListBullet3">
    <w:name w:val="List Bullet 3"/>
    <w:basedOn w:val="Normal"/>
    <w:uiPriority w:val="99"/>
    <w:semiHidden/>
    <w:rsid w:val="000E7EF3"/>
    <w:pPr>
      <w:numPr>
        <w:ilvl w:val="2"/>
        <w:numId w:val="3"/>
      </w:numPr>
      <w:tabs>
        <w:tab w:val="left" w:pos="1021"/>
      </w:tabs>
      <w:spacing w:before="120"/>
    </w:pPr>
  </w:style>
  <w:style w:type="paragraph" w:styleId="ListBullet4">
    <w:name w:val="List Bullet 4"/>
    <w:basedOn w:val="Normal"/>
    <w:uiPriority w:val="99"/>
    <w:semiHidden/>
    <w:rsid w:val="000E7EF3"/>
    <w:pPr>
      <w:numPr>
        <w:ilvl w:val="3"/>
        <w:numId w:val="3"/>
      </w:numPr>
      <w:spacing w:before="20" w:after="40"/>
    </w:pPr>
  </w:style>
  <w:style w:type="paragraph" w:styleId="ListBullet5">
    <w:name w:val="List Bullet 5"/>
    <w:basedOn w:val="Normal"/>
    <w:uiPriority w:val="99"/>
    <w:semiHidden/>
    <w:rsid w:val="000E7EF3"/>
    <w:pPr>
      <w:numPr>
        <w:ilvl w:val="4"/>
        <w:numId w:val="3"/>
      </w:numPr>
      <w:spacing w:before="20" w:after="40"/>
    </w:pPr>
  </w:style>
  <w:style w:type="numbering" w:customStyle="1" w:styleId="ListBullets">
    <w:name w:val="ListBullets"/>
    <w:uiPriority w:val="99"/>
    <w:rsid w:val="000E7EF3"/>
    <w:pPr>
      <w:numPr>
        <w:numId w:val="3"/>
      </w:numPr>
    </w:pPr>
  </w:style>
  <w:style w:type="paragraph" w:styleId="ListNumber">
    <w:name w:val="List Number"/>
    <w:basedOn w:val="Normal"/>
    <w:rsid w:val="000E7EF3"/>
    <w:pPr>
      <w:numPr>
        <w:numId w:val="2"/>
      </w:numPr>
      <w:tabs>
        <w:tab w:val="left" w:pos="340"/>
        <w:tab w:val="left" w:pos="680"/>
        <w:tab w:val="left" w:pos="1021"/>
      </w:tabs>
      <w:spacing w:before="120"/>
    </w:pPr>
  </w:style>
  <w:style w:type="paragraph" w:styleId="ListNumber2">
    <w:name w:val="List Number 2"/>
    <w:basedOn w:val="Normal"/>
    <w:uiPriority w:val="99"/>
    <w:semiHidden/>
    <w:rsid w:val="000E7EF3"/>
    <w:pPr>
      <w:numPr>
        <w:ilvl w:val="1"/>
        <w:numId w:val="2"/>
      </w:numPr>
      <w:tabs>
        <w:tab w:val="left" w:pos="680"/>
        <w:tab w:val="left" w:pos="1021"/>
      </w:tabs>
      <w:spacing w:before="120"/>
    </w:pPr>
  </w:style>
  <w:style w:type="paragraph" w:styleId="ListNumber3">
    <w:name w:val="List Number 3"/>
    <w:basedOn w:val="Normal"/>
    <w:uiPriority w:val="99"/>
    <w:semiHidden/>
    <w:rsid w:val="000E7EF3"/>
    <w:pPr>
      <w:numPr>
        <w:ilvl w:val="2"/>
        <w:numId w:val="2"/>
      </w:numPr>
      <w:tabs>
        <w:tab w:val="left" w:pos="1021"/>
        <w:tab w:val="left" w:pos="1361"/>
      </w:tabs>
      <w:spacing w:before="120"/>
    </w:pPr>
  </w:style>
  <w:style w:type="paragraph" w:styleId="ListNumber4">
    <w:name w:val="List Number 4"/>
    <w:basedOn w:val="Normal"/>
    <w:uiPriority w:val="99"/>
    <w:semiHidden/>
    <w:rsid w:val="000E7EF3"/>
    <w:pPr>
      <w:numPr>
        <w:ilvl w:val="3"/>
        <w:numId w:val="2"/>
      </w:numPr>
      <w:spacing w:before="20" w:after="40"/>
    </w:pPr>
  </w:style>
  <w:style w:type="paragraph" w:styleId="ListNumber5">
    <w:name w:val="List Number 5"/>
    <w:basedOn w:val="Normal"/>
    <w:uiPriority w:val="99"/>
    <w:semiHidden/>
    <w:rsid w:val="000E7EF3"/>
    <w:pPr>
      <w:numPr>
        <w:ilvl w:val="4"/>
        <w:numId w:val="2"/>
      </w:numPr>
      <w:spacing w:before="20" w:after="40"/>
    </w:pPr>
  </w:style>
  <w:style w:type="paragraph" w:customStyle="1" w:styleId="Briefingmainheading">
    <w:name w:val="Briefing main heading"/>
    <w:basedOn w:val="Normal"/>
    <w:qFormat/>
    <w:rsid w:val="00FA5C2A"/>
    <w:pPr>
      <w:spacing w:after="300"/>
      <w:jc w:val="center"/>
    </w:pPr>
    <w:rPr>
      <w:rFonts w:cs="Times New Roman"/>
      <w:color w:val="000000" w:themeColor="text1"/>
      <w:sz w:val="76"/>
      <w:szCs w:val="72"/>
    </w:rPr>
  </w:style>
  <w:style w:type="paragraph" w:customStyle="1" w:styleId="Normalnumberedparas">
    <w:name w:val="Normal numbered paras"/>
    <w:basedOn w:val="NormalIndent"/>
    <w:qFormat/>
    <w:rsid w:val="005312F6"/>
    <w:pPr>
      <w:tabs>
        <w:tab w:val="left" w:pos="454"/>
      </w:tabs>
      <w:spacing w:before="120" w:after="240"/>
      <w:ind w:left="0"/>
    </w:pPr>
  </w:style>
  <w:style w:type="paragraph" w:styleId="NormalIndent">
    <w:name w:val="Normal Indent"/>
    <w:basedOn w:val="Normal"/>
    <w:uiPriority w:val="99"/>
    <w:semiHidden/>
    <w:unhideWhenUsed/>
    <w:rsid w:val="005236D6"/>
    <w:pPr>
      <w:ind w:left="567"/>
    </w:pPr>
  </w:style>
  <w:style w:type="paragraph" w:styleId="Header">
    <w:name w:val="header"/>
    <w:basedOn w:val="Normal"/>
    <w:link w:val="HeaderChar"/>
    <w:uiPriority w:val="99"/>
    <w:unhideWhenUsed/>
    <w:rsid w:val="005236D6"/>
    <w:pPr>
      <w:tabs>
        <w:tab w:val="center" w:pos="4513"/>
        <w:tab w:val="right" w:pos="9026"/>
      </w:tabs>
      <w:spacing w:before="0"/>
    </w:pPr>
  </w:style>
  <w:style w:type="character" w:customStyle="1" w:styleId="HeaderChar">
    <w:name w:val="Header Char"/>
    <w:basedOn w:val="DefaultParagraphFont"/>
    <w:link w:val="Header"/>
    <w:uiPriority w:val="99"/>
    <w:rsid w:val="005236D6"/>
    <w:rPr>
      <w:rFonts w:ascii="Arial" w:hAnsi="Arial" w:cs="Arial"/>
      <w:sz w:val="21"/>
      <w:szCs w:val="21"/>
    </w:rPr>
  </w:style>
  <w:style w:type="paragraph" w:customStyle="1" w:styleId="Headingultralarge">
    <w:name w:val="Heading ultra large"/>
    <w:basedOn w:val="Normal"/>
    <w:qFormat/>
    <w:rsid w:val="005236D6"/>
    <w:pPr>
      <w:spacing w:after="180"/>
    </w:pPr>
    <w:rPr>
      <w:sz w:val="48"/>
      <w:szCs w:val="48"/>
    </w:rPr>
  </w:style>
  <w:style w:type="character" w:styleId="Hyperlink">
    <w:name w:val="Hyperlink"/>
    <w:basedOn w:val="DefaultParagraphFont"/>
    <w:uiPriority w:val="99"/>
    <w:unhideWhenUsed/>
    <w:rsid w:val="005236D6"/>
    <w:rPr>
      <w:color w:val="0000FF" w:themeColor="hyperlink"/>
      <w:u w:val="single"/>
    </w:rPr>
  </w:style>
  <w:style w:type="paragraph" w:customStyle="1" w:styleId="largeprint">
    <w:name w:val="largeprint"/>
    <w:basedOn w:val="Normal"/>
    <w:qFormat/>
    <w:rsid w:val="005236D6"/>
    <w:pPr>
      <w:spacing w:before="240" w:line="400" w:lineRule="exact"/>
    </w:pPr>
    <w:rPr>
      <w:sz w:val="28"/>
    </w:rPr>
  </w:style>
  <w:style w:type="paragraph" w:customStyle="1" w:styleId="letter-date">
    <w:name w:val="letter-date"/>
    <w:basedOn w:val="Normal"/>
    <w:qFormat/>
    <w:rsid w:val="005236D6"/>
    <w:pPr>
      <w:spacing w:before="140"/>
    </w:pPr>
  </w:style>
  <w:style w:type="paragraph" w:customStyle="1" w:styleId="letter-reference">
    <w:name w:val="letter-reference"/>
    <w:basedOn w:val="Normal"/>
    <w:qFormat/>
    <w:rsid w:val="005236D6"/>
    <w:pPr>
      <w:spacing w:before="460"/>
    </w:pPr>
  </w:style>
  <w:style w:type="paragraph" w:customStyle="1" w:styleId="letter-salutation">
    <w:name w:val="letter-salutation"/>
    <w:basedOn w:val="Normal"/>
    <w:qFormat/>
    <w:rsid w:val="005236D6"/>
    <w:pPr>
      <w:tabs>
        <w:tab w:val="left" w:pos="3721"/>
      </w:tabs>
      <w:spacing w:before="480"/>
    </w:pPr>
  </w:style>
  <w:style w:type="paragraph" w:customStyle="1" w:styleId="Normalnospaceafterorbefore">
    <w:name w:val="Normal no space after or before"/>
    <w:basedOn w:val="Normal"/>
    <w:rsid w:val="005236D6"/>
    <w:pPr>
      <w:spacing w:before="0"/>
    </w:pPr>
  </w:style>
  <w:style w:type="paragraph" w:customStyle="1" w:styleId="letter-signoff-contact-details">
    <w:name w:val="letter-signoff-contact-details"/>
    <w:basedOn w:val="Normalnospaceafterorbefore"/>
    <w:qFormat/>
    <w:rsid w:val="005236D6"/>
  </w:style>
  <w:style w:type="paragraph" w:customStyle="1" w:styleId="letter-signoff-email">
    <w:name w:val="letter-signoff-email"/>
    <w:basedOn w:val="Normal"/>
    <w:qFormat/>
    <w:rsid w:val="005236D6"/>
    <w:pPr>
      <w:spacing w:before="0" w:after="180"/>
    </w:pPr>
  </w:style>
  <w:style w:type="paragraph" w:customStyle="1" w:styleId="letter-signoff-job-title">
    <w:name w:val="letter-signoff-job-title"/>
    <w:basedOn w:val="Normal"/>
    <w:qFormat/>
    <w:rsid w:val="005236D6"/>
    <w:pPr>
      <w:spacing w:before="0" w:after="180"/>
    </w:pPr>
  </w:style>
  <w:style w:type="paragraph" w:customStyle="1" w:styleId="letter-signoff-name">
    <w:name w:val="letter-signoff-name"/>
    <w:basedOn w:val="Normalnospaceafterorbefore"/>
    <w:qFormat/>
    <w:rsid w:val="005236D6"/>
    <w:pPr>
      <w:spacing w:before="1000"/>
    </w:pPr>
  </w:style>
  <w:style w:type="paragraph" w:customStyle="1" w:styleId="letter-subject-line">
    <w:name w:val="letter-subject-line"/>
    <w:basedOn w:val="Normal"/>
    <w:next w:val="Normal"/>
    <w:qFormat/>
    <w:rsid w:val="008D0E3C"/>
    <w:rPr>
      <w:b/>
      <w:sz w:val="23"/>
    </w:rPr>
  </w:style>
  <w:style w:type="paragraph" w:customStyle="1" w:styleId="ListNumbered">
    <w:name w:val="List Numbered"/>
    <w:basedOn w:val="Normal"/>
    <w:semiHidden/>
    <w:qFormat/>
    <w:rsid w:val="005236D6"/>
    <w:pPr>
      <w:spacing w:before="20" w:after="20"/>
      <w:ind w:left="360" w:hanging="360"/>
    </w:pPr>
  </w:style>
  <w:style w:type="paragraph" w:customStyle="1" w:styleId="Normalnumberedparas1">
    <w:name w:val="Normal numbered paras 1"/>
    <w:basedOn w:val="NormalIndent"/>
    <w:qFormat/>
    <w:rsid w:val="005236D6"/>
    <w:pPr>
      <w:numPr>
        <w:numId w:val="5"/>
      </w:numPr>
      <w:tabs>
        <w:tab w:val="left" w:pos="454"/>
      </w:tabs>
    </w:pPr>
  </w:style>
  <w:style w:type="paragraph" w:customStyle="1" w:styleId="Normalnumberedparasa">
    <w:name w:val="Normal numbered paras a)"/>
    <w:basedOn w:val="Normalnumberedparas1"/>
    <w:qFormat/>
    <w:rsid w:val="005236D6"/>
    <w:pPr>
      <w:numPr>
        <w:numId w:val="6"/>
      </w:numPr>
      <w:tabs>
        <w:tab w:val="clear" w:pos="454"/>
        <w:tab w:val="left" w:pos="340"/>
      </w:tabs>
    </w:pPr>
  </w:style>
  <w:style w:type="paragraph" w:customStyle="1" w:styleId="Prospectaddress">
    <w:name w:val="Prospect address"/>
    <w:basedOn w:val="Footer"/>
    <w:qFormat/>
    <w:rsid w:val="005236D6"/>
    <w:pPr>
      <w:spacing w:before="0"/>
      <w:contextualSpacing/>
    </w:pPr>
    <w:rPr>
      <w:sz w:val="19"/>
    </w:rPr>
  </w:style>
  <w:style w:type="table" w:styleId="TableGrid">
    <w:name w:val="Table Grid"/>
    <w:basedOn w:val="TableNormal"/>
    <w:uiPriority w:val="59"/>
    <w:rsid w:val="005236D6"/>
    <w:pPr>
      <w:spacing w:after="0" w:line="240" w:lineRule="auto"/>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5236D6"/>
    <w:pPr>
      <w:spacing w:after="0" w:line="240" w:lineRule="auto"/>
    </w:pPr>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abletext">
    <w:name w:val="Normal table text"/>
    <w:basedOn w:val="Normal"/>
    <w:rsid w:val="000E7EF3"/>
    <w:pPr>
      <w:spacing w:before="60" w:after="60"/>
    </w:pPr>
    <w:rPr>
      <w:lang w:eastAsia="en-US"/>
    </w:rPr>
  </w:style>
  <w:style w:type="paragraph" w:customStyle="1" w:styleId="briefingsubjectline">
    <w:name w:val="briefing subject line"/>
    <w:basedOn w:val="Normal"/>
    <w:qFormat/>
    <w:rsid w:val="00FA5C2A"/>
    <w:pPr>
      <w:spacing w:before="120" w:after="240"/>
    </w:pPr>
    <w:rPr>
      <w:rFonts w:cs="Times New Roman"/>
      <w:color w:val="000000" w:themeColor="text1"/>
      <w:spacing w:val="4"/>
      <w:sz w:val="48"/>
      <w:szCs w:val="40"/>
    </w:rPr>
  </w:style>
  <w:style w:type="character" w:customStyle="1" w:styleId="UnresolvedMention1">
    <w:name w:val="Unresolved Mention1"/>
    <w:basedOn w:val="DefaultParagraphFont"/>
    <w:uiPriority w:val="99"/>
    <w:rsid w:val="00FA5C2A"/>
    <w:rPr>
      <w:color w:val="605E5C"/>
      <w:shd w:val="clear" w:color="auto" w:fill="E1DFDD"/>
    </w:rPr>
  </w:style>
  <w:style w:type="character" w:styleId="FollowedHyperlink">
    <w:name w:val="FollowedHyperlink"/>
    <w:basedOn w:val="DefaultParagraphFont"/>
    <w:uiPriority w:val="99"/>
    <w:semiHidden/>
    <w:unhideWhenUsed/>
    <w:rsid w:val="00FA5C2A"/>
    <w:rPr>
      <w:color w:val="800080" w:themeColor="followedHyperlink"/>
      <w:u w:val="single"/>
    </w:rPr>
  </w:style>
  <w:style w:type="paragraph" w:styleId="BalloonText">
    <w:name w:val="Balloon Text"/>
    <w:basedOn w:val="Normal"/>
    <w:link w:val="BalloonTextChar"/>
    <w:uiPriority w:val="99"/>
    <w:semiHidden/>
    <w:unhideWhenUsed/>
    <w:rsid w:val="00635F47"/>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47"/>
    <w:rPr>
      <w:rFonts w:cs="Tahoma"/>
      <w:sz w:val="16"/>
      <w:szCs w:val="16"/>
    </w:rPr>
  </w:style>
  <w:style w:type="paragraph" w:customStyle="1" w:styleId="Default">
    <w:name w:val="Default"/>
    <w:rsid w:val="00B16498"/>
    <w:pPr>
      <w:autoSpaceDE w:val="0"/>
      <w:autoSpaceDN w:val="0"/>
      <w:adjustRightInd w:val="0"/>
      <w:spacing w:after="0" w:line="240" w:lineRule="auto"/>
    </w:pPr>
    <w:rPr>
      <w:rFonts w:ascii="TFTEL P+ Humanist 777 BT" w:hAnsi="TFTEL P+ Humanist 777 BT" w:cs="TFTEL P+ Humanist 777 BT"/>
      <w:color w:val="000000"/>
      <w:sz w:val="24"/>
      <w:szCs w:val="24"/>
    </w:rPr>
  </w:style>
  <w:style w:type="paragraph" w:styleId="FootnoteText">
    <w:name w:val="footnote text"/>
    <w:basedOn w:val="Normal"/>
    <w:link w:val="FootnoteTextChar"/>
    <w:uiPriority w:val="99"/>
    <w:unhideWhenUsed/>
    <w:rsid w:val="0063603C"/>
    <w:pPr>
      <w:spacing w:before="0"/>
    </w:pPr>
    <w:rPr>
      <w:sz w:val="20"/>
      <w:szCs w:val="20"/>
    </w:rPr>
  </w:style>
  <w:style w:type="character" w:customStyle="1" w:styleId="FootnoteTextChar">
    <w:name w:val="Footnote Text Char"/>
    <w:basedOn w:val="DefaultParagraphFont"/>
    <w:link w:val="FootnoteText"/>
    <w:uiPriority w:val="99"/>
    <w:rsid w:val="0063603C"/>
    <w:rPr>
      <w:rFonts w:ascii="Arial" w:hAnsi="Arial" w:cs="Arial"/>
      <w:sz w:val="20"/>
      <w:szCs w:val="20"/>
    </w:rPr>
  </w:style>
  <w:style w:type="character" w:styleId="FootnoteReference">
    <w:name w:val="footnote reference"/>
    <w:basedOn w:val="DefaultParagraphFont"/>
    <w:uiPriority w:val="99"/>
    <w:semiHidden/>
    <w:unhideWhenUsed/>
    <w:rsid w:val="0063603C"/>
    <w:rPr>
      <w:vertAlign w:val="superscript"/>
    </w:rPr>
  </w:style>
  <w:style w:type="paragraph" w:styleId="NormalWeb">
    <w:name w:val="Normal (Web)"/>
    <w:basedOn w:val="Normal"/>
    <w:uiPriority w:val="99"/>
    <w:unhideWhenUsed/>
    <w:rsid w:val="0063603C"/>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04041"/>
    <w:rPr>
      <w:i/>
      <w:iCs/>
    </w:rPr>
  </w:style>
  <w:style w:type="character" w:styleId="UnresolvedMention">
    <w:name w:val="Unresolved Mention"/>
    <w:basedOn w:val="DefaultParagraphFont"/>
    <w:uiPriority w:val="99"/>
    <w:semiHidden/>
    <w:unhideWhenUsed/>
    <w:rsid w:val="0023289C"/>
    <w:rPr>
      <w:color w:val="605E5C"/>
      <w:shd w:val="clear" w:color="auto" w:fill="E1DFDD"/>
    </w:rPr>
  </w:style>
  <w:style w:type="paragraph" w:styleId="Revision">
    <w:name w:val="Revision"/>
    <w:hidden/>
    <w:uiPriority w:val="99"/>
    <w:semiHidden/>
    <w:rsid w:val="0064242C"/>
    <w:pPr>
      <w:spacing w:after="0" w:line="240" w:lineRule="auto"/>
    </w:pPr>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85199">
      <w:bodyDiv w:val="1"/>
      <w:marLeft w:val="0"/>
      <w:marRight w:val="0"/>
      <w:marTop w:val="0"/>
      <w:marBottom w:val="0"/>
      <w:divBdr>
        <w:top w:val="none" w:sz="0" w:space="0" w:color="auto"/>
        <w:left w:val="none" w:sz="0" w:space="0" w:color="auto"/>
        <w:bottom w:val="none" w:sz="0" w:space="0" w:color="auto"/>
        <w:right w:val="none" w:sz="0" w:space="0" w:color="auto"/>
      </w:divBdr>
    </w:div>
    <w:div w:id="285358046">
      <w:bodyDiv w:val="1"/>
      <w:marLeft w:val="0"/>
      <w:marRight w:val="0"/>
      <w:marTop w:val="0"/>
      <w:marBottom w:val="0"/>
      <w:divBdr>
        <w:top w:val="none" w:sz="0" w:space="0" w:color="auto"/>
        <w:left w:val="none" w:sz="0" w:space="0" w:color="auto"/>
        <w:bottom w:val="none" w:sz="0" w:space="0" w:color="auto"/>
        <w:right w:val="none" w:sz="0" w:space="0" w:color="auto"/>
      </w:divBdr>
    </w:div>
    <w:div w:id="290214974">
      <w:bodyDiv w:val="1"/>
      <w:marLeft w:val="0"/>
      <w:marRight w:val="0"/>
      <w:marTop w:val="0"/>
      <w:marBottom w:val="0"/>
      <w:divBdr>
        <w:top w:val="none" w:sz="0" w:space="0" w:color="auto"/>
        <w:left w:val="none" w:sz="0" w:space="0" w:color="auto"/>
        <w:bottom w:val="none" w:sz="0" w:space="0" w:color="auto"/>
        <w:right w:val="none" w:sz="0" w:space="0" w:color="auto"/>
      </w:divBdr>
    </w:div>
    <w:div w:id="323289592">
      <w:bodyDiv w:val="1"/>
      <w:marLeft w:val="0"/>
      <w:marRight w:val="0"/>
      <w:marTop w:val="0"/>
      <w:marBottom w:val="0"/>
      <w:divBdr>
        <w:top w:val="none" w:sz="0" w:space="0" w:color="auto"/>
        <w:left w:val="none" w:sz="0" w:space="0" w:color="auto"/>
        <w:bottom w:val="none" w:sz="0" w:space="0" w:color="auto"/>
        <w:right w:val="none" w:sz="0" w:space="0" w:color="auto"/>
      </w:divBdr>
    </w:div>
    <w:div w:id="347104022">
      <w:bodyDiv w:val="1"/>
      <w:marLeft w:val="0"/>
      <w:marRight w:val="0"/>
      <w:marTop w:val="0"/>
      <w:marBottom w:val="0"/>
      <w:divBdr>
        <w:top w:val="none" w:sz="0" w:space="0" w:color="auto"/>
        <w:left w:val="none" w:sz="0" w:space="0" w:color="auto"/>
        <w:bottom w:val="none" w:sz="0" w:space="0" w:color="auto"/>
        <w:right w:val="none" w:sz="0" w:space="0" w:color="auto"/>
      </w:divBdr>
    </w:div>
    <w:div w:id="406726303">
      <w:bodyDiv w:val="1"/>
      <w:marLeft w:val="0"/>
      <w:marRight w:val="0"/>
      <w:marTop w:val="0"/>
      <w:marBottom w:val="0"/>
      <w:divBdr>
        <w:top w:val="none" w:sz="0" w:space="0" w:color="auto"/>
        <w:left w:val="none" w:sz="0" w:space="0" w:color="auto"/>
        <w:bottom w:val="none" w:sz="0" w:space="0" w:color="auto"/>
        <w:right w:val="none" w:sz="0" w:space="0" w:color="auto"/>
      </w:divBdr>
    </w:div>
    <w:div w:id="436096900">
      <w:bodyDiv w:val="1"/>
      <w:marLeft w:val="0"/>
      <w:marRight w:val="0"/>
      <w:marTop w:val="0"/>
      <w:marBottom w:val="0"/>
      <w:divBdr>
        <w:top w:val="none" w:sz="0" w:space="0" w:color="auto"/>
        <w:left w:val="none" w:sz="0" w:space="0" w:color="auto"/>
        <w:bottom w:val="none" w:sz="0" w:space="0" w:color="auto"/>
        <w:right w:val="none" w:sz="0" w:space="0" w:color="auto"/>
      </w:divBdr>
    </w:div>
    <w:div w:id="643047616">
      <w:bodyDiv w:val="1"/>
      <w:marLeft w:val="0"/>
      <w:marRight w:val="0"/>
      <w:marTop w:val="0"/>
      <w:marBottom w:val="0"/>
      <w:divBdr>
        <w:top w:val="none" w:sz="0" w:space="0" w:color="auto"/>
        <w:left w:val="none" w:sz="0" w:space="0" w:color="auto"/>
        <w:bottom w:val="none" w:sz="0" w:space="0" w:color="auto"/>
        <w:right w:val="none" w:sz="0" w:space="0" w:color="auto"/>
      </w:divBdr>
    </w:div>
    <w:div w:id="847524073">
      <w:bodyDiv w:val="1"/>
      <w:marLeft w:val="0"/>
      <w:marRight w:val="0"/>
      <w:marTop w:val="0"/>
      <w:marBottom w:val="0"/>
      <w:divBdr>
        <w:top w:val="none" w:sz="0" w:space="0" w:color="auto"/>
        <w:left w:val="none" w:sz="0" w:space="0" w:color="auto"/>
        <w:bottom w:val="none" w:sz="0" w:space="0" w:color="auto"/>
        <w:right w:val="none" w:sz="0" w:space="0" w:color="auto"/>
      </w:divBdr>
    </w:div>
    <w:div w:id="1035153067">
      <w:bodyDiv w:val="1"/>
      <w:marLeft w:val="0"/>
      <w:marRight w:val="0"/>
      <w:marTop w:val="0"/>
      <w:marBottom w:val="0"/>
      <w:divBdr>
        <w:top w:val="none" w:sz="0" w:space="0" w:color="auto"/>
        <w:left w:val="none" w:sz="0" w:space="0" w:color="auto"/>
        <w:bottom w:val="none" w:sz="0" w:space="0" w:color="auto"/>
        <w:right w:val="none" w:sz="0" w:space="0" w:color="auto"/>
      </w:divBdr>
    </w:div>
    <w:div w:id="1252472085">
      <w:bodyDiv w:val="1"/>
      <w:marLeft w:val="0"/>
      <w:marRight w:val="0"/>
      <w:marTop w:val="0"/>
      <w:marBottom w:val="0"/>
      <w:divBdr>
        <w:top w:val="none" w:sz="0" w:space="0" w:color="auto"/>
        <w:left w:val="none" w:sz="0" w:space="0" w:color="auto"/>
        <w:bottom w:val="none" w:sz="0" w:space="0" w:color="auto"/>
        <w:right w:val="none" w:sz="0" w:space="0" w:color="auto"/>
      </w:divBdr>
    </w:div>
    <w:div w:id="1450201916">
      <w:bodyDiv w:val="1"/>
      <w:marLeft w:val="0"/>
      <w:marRight w:val="0"/>
      <w:marTop w:val="0"/>
      <w:marBottom w:val="0"/>
      <w:divBdr>
        <w:top w:val="none" w:sz="0" w:space="0" w:color="auto"/>
        <w:left w:val="none" w:sz="0" w:space="0" w:color="auto"/>
        <w:bottom w:val="none" w:sz="0" w:space="0" w:color="auto"/>
        <w:right w:val="none" w:sz="0" w:space="0" w:color="auto"/>
      </w:divBdr>
    </w:div>
    <w:div w:id="1541044299">
      <w:bodyDiv w:val="1"/>
      <w:marLeft w:val="0"/>
      <w:marRight w:val="0"/>
      <w:marTop w:val="0"/>
      <w:marBottom w:val="0"/>
      <w:divBdr>
        <w:top w:val="none" w:sz="0" w:space="0" w:color="auto"/>
        <w:left w:val="none" w:sz="0" w:space="0" w:color="auto"/>
        <w:bottom w:val="none" w:sz="0" w:space="0" w:color="auto"/>
        <w:right w:val="none" w:sz="0" w:space="0" w:color="auto"/>
      </w:divBdr>
    </w:div>
    <w:div w:id="1669943550">
      <w:bodyDiv w:val="1"/>
      <w:marLeft w:val="0"/>
      <w:marRight w:val="0"/>
      <w:marTop w:val="0"/>
      <w:marBottom w:val="0"/>
      <w:divBdr>
        <w:top w:val="none" w:sz="0" w:space="0" w:color="auto"/>
        <w:left w:val="none" w:sz="0" w:space="0" w:color="auto"/>
        <w:bottom w:val="none" w:sz="0" w:space="0" w:color="auto"/>
        <w:right w:val="none" w:sz="0" w:space="0" w:color="auto"/>
      </w:divBdr>
    </w:div>
    <w:div w:id="1781411837">
      <w:bodyDiv w:val="1"/>
      <w:marLeft w:val="0"/>
      <w:marRight w:val="0"/>
      <w:marTop w:val="0"/>
      <w:marBottom w:val="0"/>
      <w:divBdr>
        <w:top w:val="none" w:sz="0" w:space="0" w:color="auto"/>
        <w:left w:val="none" w:sz="0" w:space="0" w:color="auto"/>
        <w:bottom w:val="none" w:sz="0" w:space="0" w:color="auto"/>
        <w:right w:val="none" w:sz="0" w:space="0" w:color="auto"/>
      </w:divBdr>
    </w:div>
    <w:div w:id="1972900550">
      <w:bodyDiv w:val="1"/>
      <w:marLeft w:val="0"/>
      <w:marRight w:val="0"/>
      <w:marTop w:val="0"/>
      <w:marBottom w:val="0"/>
      <w:divBdr>
        <w:top w:val="none" w:sz="0" w:space="0" w:color="auto"/>
        <w:left w:val="none" w:sz="0" w:space="0" w:color="auto"/>
        <w:bottom w:val="none" w:sz="0" w:space="0" w:color="auto"/>
        <w:right w:val="none" w:sz="0" w:space="0" w:color="auto"/>
      </w:divBdr>
    </w:div>
    <w:div w:id="1992174175">
      <w:bodyDiv w:val="1"/>
      <w:marLeft w:val="0"/>
      <w:marRight w:val="0"/>
      <w:marTop w:val="0"/>
      <w:marBottom w:val="0"/>
      <w:divBdr>
        <w:top w:val="none" w:sz="0" w:space="0" w:color="auto"/>
        <w:left w:val="none" w:sz="0" w:space="0" w:color="auto"/>
        <w:bottom w:val="none" w:sz="0" w:space="0" w:color="auto"/>
        <w:right w:val="none" w:sz="0" w:space="0" w:color="auto"/>
      </w:divBdr>
    </w:div>
    <w:div w:id="20430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footer" Target="footer1.xml"/><Relationship Id="rId30"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prospect.org.uk/joinu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questions-statements.parliament.uk/written-questions/detail/2024-10-28/11467" TargetMode="External"/><Relationship Id="rId2" Type="http://schemas.openxmlformats.org/officeDocument/2006/relationships/hyperlink" Target="https://ifs.org.uk/sites/default/files/2025-03/Public_service_spending_small_changes_big_challenges_BB.pdf" TargetMode="External"/><Relationship Id="rId1" Type="http://schemas.openxmlformats.org/officeDocument/2006/relationships/hyperlink" Target="https://www.artsprofessional.co.uk/news/spending-review-government-pledges-additional-400m-for-dcms-in-2028"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m\AppData\Roaming\Microsoft\Templates\briefing.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AC766A08B146B6390D5D437781FB" ma:contentTypeVersion="15" ma:contentTypeDescription="Create a new document." ma:contentTypeScope="" ma:versionID="3a137b4dd5c2319f5f54f40f615da81c">
  <xsd:schema xmlns:xsd="http://www.w3.org/2001/XMLSchema" xmlns:xs="http://www.w3.org/2001/XMLSchema" xmlns:p="http://schemas.microsoft.com/office/2006/metadata/properties" xmlns:ns2="0ecf5486-e989-4379-bfee-e9488933998c" xmlns:ns3="95c4e850-32b5-4d18-96f2-9b7a5c16f8c4" targetNamespace="http://schemas.microsoft.com/office/2006/metadata/properties" ma:root="true" ma:fieldsID="860abe63fba5453669102f52f895e8de" ns2:_="" ns3:_="">
    <xsd:import namespace="0ecf5486-e989-4379-bfee-e9488933998c"/>
    <xsd:import namespace="95c4e850-32b5-4d18-96f2-9b7a5c16f8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f5486-e989-4379-bfee-e94889339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b10955-4951-4066-b3c1-96eb136e60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c4e850-32b5-4d18-96f2-9b7a5c16f8c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ae77758-b606-4a75-864a-4b7c0cca3c3a}" ma:internalName="TaxCatchAll" ma:showField="CatchAllData" ma:web="95c4e850-32b5-4d18-96f2-9b7a5c16f8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ecf5486-e989-4379-bfee-e9488933998c">
      <Terms xmlns="http://schemas.microsoft.com/office/infopath/2007/PartnerControls"/>
    </lcf76f155ced4ddcb4097134ff3c332f>
    <TaxCatchAll xmlns="95c4e850-32b5-4d18-96f2-9b7a5c16f8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A49CC7-A7F1-4840-BB19-80F87C02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f5486-e989-4379-bfee-e9488933998c"/>
    <ds:schemaRef ds:uri="95c4e850-32b5-4d18-96f2-9b7a5c16f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08B415-26FD-4222-8167-B2A157C5967B}">
  <ds:schemaRefs>
    <ds:schemaRef ds:uri="http://schemas.microsoft.com/office/2006/metadata/properties"/>
    <ds:schemaRef ds:uri="http://schemas.microsoft.com/office/infopath/2007/PartnerControls"/>
    <ds:schemaRef ds:uri="0ecf5486-e989-4379-bfee-e9488933998c"/>
    <ds:schemaRef ds:uri="95c4e850-32b5-4d18-96f2-9b7a5c16f8c4"/>
  </ds:schemaRefs>
</ds:datastoreItem>
</file>

<file path=customXml/itemProps3.xml><?xml version="1.0" encoding="utf-8"?>
<ds:datastoreItem xmlns:ds="http://schemas.openxmlformats.org/officeDocument/2006/customXml" ds:itemID="{E1EB3F8D-1192-4475-8727-F19E99EB8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Template>
  <TotalTime>2</TotalTime>
  <Pages>15</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Martin McIvor</dc:creator>
  <cp:keywords/>
  <cp:lastModifiedBy>Martin McIvor</cp:lastModifiedBy>
  <cp:revision>4</cp:revision>
  <cp:lastPrinted>2020-11-26T09:24:00Z</cp:lastPrinted>
  <dcterms:created xsi:type="dcterms:W3CDTF">2025-06-12T14:57:00Z</dcterms:created>
  <dcterms:modified xsi:type="dcterms:W3CDTF">2025-06-12T14:59:00Z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0x010100D8D7AC766A08B146B6390D5D437781FB</vt:lpwstr>
  </property>
  <property fmtid="{D5CDD505-2E9C-101B-9397-08002B2CF9AE}" pid="3" name="MediaServiceImageTags">
    <vt:lpwstr/>
  </property>
</Properties>
</file>